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18818979"/>
    <w:bookmarkEnd w:id="0"/>
    <w:p w:rsidR="007E5643" w:rsidRPr="005A25CE" w:rsidRDefault="007E5643" w:rsidP="007E5643">
      <w:pPr>
        <w:jc w:val="center"/>
        <w:rPr>
          <w:rFonts w:asciiTheme="minorHAnsi" w:hAnsiTheme="minorHAnsi"/>
          <w:b/>
          <w:sz w:val="28"/>
        </w:rPr>
      </w:pPr>
      <w:r w:rsidRPr="005A25CE">
        <w:rPr>
          <w:rFonts w:asciiTheme="minorHAnsi" w:hAnsiTheme="minorHAnsi"/>
          <w:b/>
          <w:sz w:val="28"/>
        </w:rPr>
        <w:object w:dxaOrig="6953" w:dyaOrig="1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76.5pt" o:ole="" o:preferrelative="f">
            <v:imagedata r:id="rId8" o:title=""/>
            <o:lock v:ext="edit" aspectratio="f"/>
          </v:shape>
          <o:OLEObject Type="Embed" ProgID="Excel.Sheet.12" ShapeID="_x0000_i1025" DrawAspect="Content" ObjectID="_1587192628" r:id="rId9"/>
        </w:object>
      </w:r>
    </w:p>
    <w:p w:rsidR="00142020" w:rsidRPr="005A25CE" w:rsidRDefault="00142020" w:rsidP="00142020">
      <w:pPr>
        <w:spacing w:before="720"/>
        <w:jc w:val="both"/>
        <w:rPr>
          <w:rFonts w:asciiTheme="minorHAnsi" w:hAnsiTheme="minorHAnsi"/>
          <w:b/>
          <w:sz w:val="28"/>
        </w:rPr>
      </w:pPr>
      <w:r w:rsidRPr="005A25CE">
        <w:rPr>
          <w:rFonts w:asciiTheme="minorHAnsi" w:hAnsiTheme="minorHAnsi"/>
          <w:b/>
          <w:sz w:val="28"/>
        </w:rPr>
        <w:t>Česká podnikatelská pojišťovna, a.s., Vienna Insurance Group</w:t>
      </w:r>
    </w:p>
    <w:p w:rsidR="00142020" w:rsidRPr="005A25CE" w:rsidRDefault="00142020" w:rsidP="00142020">
      <w:pPr>
        <w:pStyle w:val="Nadpis6"/>
        <w:jc w:val="both"/>
        <w:rPr>
          <w:rFonts w:asciiTheme="minorHAnsi" w:hAnsiTheme="minorHAnsi"/>
          <w:bCs w:val="0"/>
        </w:rPr>
      </w:pPr>
      <w:r w:rsidRPr="005A25CE">
        <w:rPr>
          <w:rFonts w:asciiTheme="minorHAnsi" w:hAnsiTheme="minorHAnsi"/>
          <w:bCs w:val="0"/>
        </w:rPr>
        <w:t>Sídlo: Praha 8, Pobřežní 665/23, PSČ 186 00</w:t>
      </w:r>
    </w:p>
    <w:p w:rsidR="00142020" w:rsidRPr="005A25CE" w:rsidRDefault="00142020" w:rsidP="00142020">
      <w:pPr>
        <w:pStyle w:val="Nadpis6"/>
        <w:tabs>
          <w:tab w:val="left" w:pos="1620"/>
        </w:tabs>
        <w:jc w:val="both"/>
        <w:rPr>
          <w:rFonts w:asciiTheme="minorHAnsi" w:hAnsiTheme="minorHAnsi"/>
          <w:bCs w:val="0"/>
        </w:rPr>
      </w:pPr>
      <w:r w:rsidRPr="005A25CE">
        <w:rPr>
          <w:rFonts w:asciiTheme="minorHAnsi" w:hAnsiTheme="minorHAnsi"/>
          <w:bCs w:val="0"/>
        </w:rPr>
        <w:t>Zastoupena</w:t>
      </w:r>
      <w:r w:rsidRPr="005A25CE">
        <w:rPr>
          <w:rFonts w:asciiTheme="minorHAnsi" w:hAnsiTheme="minorHAnsi"/>
          <w:bCs w:val="0"/>
          <w:sz w:val="24"/>
        </w:rPr>
        <w:t>:</w:t>
      </w:r>
      <w:r w:rsidRPr="005A25CE">
        <w:rPr>
          <w:rFonts w:asciiTheme="minorHAnsi" w:hAnsiTheme="minorHAnsi"/>
          <w:bCs w:val="0"/>
          <w:sz w:val="24"/>
        </w:rPr>
        <w:tab/>
      </w:r>
      <w:r w:rsidRPr="005A25CE">
        <w:rPr>
          <w:rFonts w:asciiTheme="minorHAnsi" w:hAnsiTheme="minorHAnsi"/>
          <w:bCs w:val="0"/>
        </w:rPr>
        <w:t>na základě zmocnění níže podepsanými osobami</w:t>
      </w:r>
    </w:p>
    <w:p w:rsidR="00142020" w:rsidRPr="005A25CE" w:rsidRDefault="00142020" w:rsidP="00142020">
      <w:pPr>
        <w:pStyle w:val="Nadpis6"/>
        <w:tabs>
          <w:tab w:val="left" w:pos="1620"/>
        </w:tabs>
        <w:ind w:left="1620" w:hanging="1620"/>
        <w:jc w:val="both"/>
        <w:rPr>
          <w:rFonts w:asciiTheme="minorHAnsi" w:hAnsiTheme="minorHAnsi"/>
          <w:bCs w:val="0"/>
        </w:rPr>
      </w:pPr>
      <w:r w:rsidRPr="005A25CE">
        <w:rPr>
          <w:rFonts w:asciiTheme="minorHAnsi" w:hAnsiTheme="minorHAnsi"/>
          <w:b w:val="0"/>
          <w:bCs w:val="0"/>
          <w:i/>
          <w:sz w:val="22"/>
        </w:rPr>
        <w:tab/>
      </w:r>
    </w:p>
    <w:p w:rsidR="00142020" w:rsidRPr="005A25CE" w:rsidRDefault="00142020" w:rsidP="00142020">
      <w:pPr>
        <w:pStyle w:val="Nadpis6"/>
        <w:tabs>
          <w:tab w:val="left" w:pos="1620"/>
        </w:tabs>
        <w:ind w:left="1620" w:hanging="1620"/>
        <w:jc w:val="both"/>
        <w:rPr>
          <w:rFonts w:asciiTheme="minorHAnsi" w:hAnsiTheme="minorHAnsi"/>
        </w:rPr>
      </w:pPr>
      <w:r w:rsidRPr="005A25CE">
        <w:rPr>
          <w:rFonts w:asciiTheme="minorHAnsi" w:hAnsiTheme="minorHAnsi"/>
        </w:rPr>
        <w:t xml:space="preserve">IČ: 63998530 </w:t>
      </w:r>
    </w:p>
    <w:p w:rsidR="00142020" w:rsidRPr="005A25CE" w:rsidRDefault="00142020" w:rsidP="00142020">
      <w:pPr>
        <w:pStyle w:val="Nadpis6"/>
        <w:jc w:val="both"/>
        <w:rPr>
          <w:rFonts w:asciiTheme="minorHAnsi" w:hAnsiTheme="minorHAnsi"/>
        </w:rPr>
      </w:pPr>
      <w:r w:rsidRPr="005A25CE">
        <w:rPr>
          <w:rFonts w:asciiTheme="minorHAnsi" w:hAnsiTheme="minorHAnsi"/>
        </w:rPr>
        <w:t>Zápis v obchodním rejstříku: Městský soud v Praze, oddíl B, vložka 3433</w:t>
      </w:r>
    </w:p>
    <w:p w:rsidR="00142020" w:rsidRPr="005A25CE" w:rsidRDefault="00142020" w:rsidP="00142020">
      <w:pPr>
        <w:pStyle w:val="Nadpis6"/>
        <w:jc w:val="both"/>
        <w:rPr>
          <w:rFonts w:asciiTheme="minorHAnsi" w:hAnsiTheme="minorHAnsi"/>
          <w:bCs w:val="0"/>
        </w:rPr>
      </w:pPr>
      <w:r w:rsidRPr="005A25CE">
        <w:rPr>
          <w:rFonts w:asciiTheme="minorHAnsi" w:hAnsiTheme="minorHAnsi"/>
          <w:bCs w:val="0"/>
        </w:rPr>
        <w:t>Bankovní spojení: Česká spořitelna, a.s., č.ú. 700135002/0800</w:t>
      </w:r>
    </w:p>
    <w:p w:rsidR="00142020" w:rsidRPr="005A25CE" w:rsidRDefault="00142020" w:rsidP="00142020">
      <w:pPr>
        <w:pStyle w:val="Nadpis6"/>
        <w:jc w:val="both"/>
        <w:rPr>
          <w:rFonts w:asciiTheme="minorHAnsi" w:hAnsiTheme="minorHAnsi"/>
          <w:bCs w:val="0"/>
        </w:rPr>
      </w:pPr>
      <w:r w:rsidRPr="005A25CE">
        <w:rPr>
          <w:rFonts w:asciiTheme="minorHAnsi" w:hAnsiTheme="minorHAnsi"/>
          <w:bCs w:val="0"/>
        </w:rPr>
        <w:t xml:space="preserve">Tel: 596 112 840, </w:t>
      </w:r>
    </w:p>
    <w:p w:rsidR="00142020" w:rsidRPr="005A25CE" w:rsidRDefault="00631587" w:rsidP="00142020">
      <w:pPr>
        <w:spacing w:before="120"/>
        <w:jc w:val="both"/>
        <w:rPr>
          <w:rFonts w:asciiTheme="minorHAnsi" w:hAnsiTheme="minorHAnsi"/>
          <w:sz w:val="20"/>
          <w:szCs w:val="20"/>
        </w:rPr>
      </w:pPr>
      <w:r w:rsidRPr="005A25CE">
        <w:rPr>
          <w:rFonts w:asciiTheme="minorHAnsi" w:hAnsiTheme="minorHAnsi"/>
          <w:sz w:val="20"/>
          <w:szCs w:val="20"/>
        </w:rPr>
        <w:t>dále jen pojistitel</w:t>
      </w:r>
    </w:p>
    <w:p w:rsidR="00142020" w:rsidRPr="005A25CE" w:rsidRDefault="00142020" w:rsidP="00142020">
      <w:pPr>
        <w:spacing w:before="240" w:after="240"/>
        <w:jc w:val="both"/>
        <w:rPr>
          <w:rFonts w:asciiTheme="minorHAnsi" w:hAnsiTheme="minorHAnsi"/>
          <w:sz w:val="20"/>
          <w:szCs w:val="20"/>
        </w:rPr>
      </w:pPr>
      <w:r w:rsidRPr="005A25CE">
        <w:rPr>
          <w:rFonts w:asciiTheme="minorHAnsi" w:hAnsiTheme="minorHAnsi"/>
          <w:sz w:val="20"/>
          <w:szCs w:val="20"/>
        </w:rPr>
        <w:t xml:space="preserve">a </w:t>
      </w:r>
    </w:p>
    <w:p w:rsidR="00631587" w:rsidRPr="005A25CE" w:rsidRDefault="001B6874" w:rsidP="00142020">
      <w:pPr>
        <w:jc w:val="both"/>
        <w:rPr>
          <w:rFonts w:asciiTheme="minorHAnsi" w:hAnsiTheme="minorHAnsi" w:cs="Calibri"/>
          <w:b/>
          <w:sz w:val="28"/>
        </w:rPr>
      </w:pPr>
      <w:r w:rsidRPr="005A25CE">
        <w:rPr>
          <w:rFonts w:asciiTheme="minorHAnsi" w:hAnsiTheme="minorHAnsi" w:cs="Calibri"/>
          <w:b/>
          <w:sz w:val="28"/>
        </w:rPr>
        <w:t>Základní organizace O</w:t>
      </w:r>
      <w:r w:rsidR="008C7673" w:rsidRPr="005A25CE">
        <w:rPr>
          <w:rFonts w:asciiTheme="minorHAnsi" w:hAnsiTheme="minorHAnsi" w:cs="Calibri"/>
          <w:b/>
          <w:sz w:val="28"/>
        </w:rPr>
        <w:t>dborového svazu zdravotnictví a sociální péče České republiky - ……………………………………………………………………</w:t>
      </w:r>
    </w:p>
    <w:p w:rsidR="00631587" w:rsidRPr="005A25CE" w:rsidRDefault="00142020" w:rsidP="00142020">
      <w:pPr>
        <w:jc w:val="both"/>
        <w:rPr>
          <w:rFonts w:asciiTheme="minorHAnsi" w:hAnsiTheme="minorHAnsi" w:cs="Calibri"/>
          <w:b/>
          <w:sz w:val="28"/>
        </w:rPr>
      </w:pPr>
      <w:r w:rsidRPr="005A25CE">
        <w:rPr>
          <w:rFonts w:asciiTheme="minorHAnsi" w:hAnsiTheme="minorHAnsi" w:cs="Calibri"/>
          <w:b/>
          <w:sz w:val="28"/>
        </w:rPr>
        <w:t xml:space="preserve">Sídlo: </w:t>
      </w:r>
    </w:p>
    <w:p w:rsidR="00142020" w:rsidRPr="005A25CE" w:rsidRDefault="00142020" w:rsidP="00142020">
      <w:pPr>
        <w:jc w:val="both"/>
        <w:rPr>
          <w:rFonts w:asciiTheme="minorHAnsi" w:hAnsiTheme="minorHAnsi"/>
          <w:b/>
          <w:sz w:val="28"/>
        </w:rPr>
      </w:pPr>
      <w:r w:rsidRPr="005A25CE">
        <w:rPr>
          <w:rFonts w:asciiTheme="minorHAnsi" w:hAnsiTheme="minorHAnsi"/>
          <w:b/>
          <w:sz w:val="28"/>
        </w:rPr>
        <w:t>Zastoupena:</w:t>
      </w:r>
    </w:p>
    <w:p w:rsidR="00142020" w:rsidRPr="005A25CE" w:rsidRDefault="00142020" w:rsidP="00142020">
      <w:pPr>
        <w:pStyle w:val="Nadpis6"/>
        <w:jc w:val="both"/>
        <w:rPr>
          <w:rFonts w:asciiTheme="minorHAnsi" w:hAnsiTheme="minorHAnsi"/>
        </w:rPr>
      </w:pPr>
      <w:r w:rsidRPr="005A25CE">
        <w:rPr>
          <w:rFonts w:asciiTheme="minorHAnsi" w:hAnsiTheme="minorHAnsi"/>
        </w:rPr>
        <w:t xml:space="preserve">IČ: </w:t>
      </w:r>
    </w:p>
    <w:p w:rsidR="00142020" w:rsidRPr="005A25CE" w:rsidRDefault="00631587" w:rsidP="00142020">
      <w:pPr>
        <w:spacing w:before="120"/>
        <w:rPr>
          <w:rFonts w:asciiTheme="minorHAnsi" w:hAnsiTheme="minorHAnsi"/>
          <w:sz w:val="20"/>
          <w:szCs w:val="20"/>
        </w:rPr>
      </w:pPr>
      <w:r w:rsidRPr="005A25CE">
        <w:rPr>
          <w:rFonts w:asciiTheme="minorHAnsi" w:hAnsiTheme="minorHAnsi"/>
          <w:sz w:val="20"/>
          <w:szCs w:val="20"/>
        </w:rPr>
        <w:t>dále jen pojistník</w:t>
      </w:r>
    </w:p>
    <w:p w:rsidR="007965CA" w:rsidRPr="005A25CE" w:rsidRDefault="007965CA" w:rsidP="00142020">
      <w:pPr>
        <w:spacing w:before="120"/>
        <w:rPr>
          <w:rFonts w:asciiTheme="minorHAnsi" w:hAnsiTheme="minorHAnsi"/>
          <w:sz w:val="20"/>
          <w:szCs w:val="20"/>
        </w:rPr>
      </w:pPr>
    </w:p>
    <w:p w:rsidR="007965CA" w:rsidRPr="005A25CE" w:rsidRDefault="007965CA" w:rsidP="00142020">
      <w:pPr>
        <w:spacing w:before="120"/>
        <w:rPr>
          <w:rFonts w:asciiTheme="minorHAnsi" w:hAnsiTheme="minorHAnsi"/>
          <w:sz w:val="20"/>
          <w:szCs w:val="20"/>
        </w:rPr>
      </w:pPr>
    </w:p>
    <w:p w:rsidR="007965CA" w:rsidRPr="005A25CE" w:rsidRDefault="007965CA" w:rsidP="00142020">
      <w:pPr>
        <w:spacing w:before="120"/>
        <w:rPr>
          <w:rFonts w:asciiTheme="minorHAnsi" w:hAnsiTheme="minorHAnsi"/>
          <w:sz w:val="20"/>
          <w:szCs w:val="20"/>
        </w:rPr>
      </w:pPr>
    </w:p>
    <w:p w:rsidR="007965CA" w:rsidRPr="005A25CE" w:rsidRDefault="007965CA" w:rsidP="00142020">
      <w:pPr>
        <w:spacing w:before="120"/>
        <w:rPr>
          <w:rFonts w:asciiTheme="minorHAnsi" w:hAnsiTheme="minorHAnsi"/>
          <w:sz w:val="20"/>
          <w:szCs w:val="20"/>
        </w:rPr>
      </w:pPr>
    </w:p>
    <w:p w:rsidR="007E5643" w:rsidRPr="005A25CE" w:rsidRDefault="007E5643" w:rsidP="007E5643">
      <w:pPr>
        <w:spacing w:before="240" w:after="240"/>
        <w:jc w:val="center"/>
        <w:rPr>
          <w:rFonts w:asciiTheme="minorHAnsi" w:hAnsiTheme="minorHAnsi"/>
          <w:b/>
          <w:sz w:val="20"/>
          <w:szCs w:val="20"/>
        </w:rPr>
      </w:pPr>
      <w:r w:rsidRPr="005A25CE">
        <w:rPr>
          <w:rFonts w:asciiTheme="minorHAnsi" w:hAnsiTheme="minorHAnsi"/>
          <w:b/>
          <w:sz w:val="20"/>
          <w:szCs w:val="20"/>
        </w:rPr>
        <w:t>uzavírají</w:t>
      </w:r>
    </w:p>
    <w:p w:rsidR="007E5643" w:rsidRPr="005A25CE" w:rsidRDefault="007E5643" w:rsidP="007E5643">
      <w:pPr>
        <w:pStyle w:val="Zkladntext31"/>
        <w:tabs>
          <w:tab w:val="clear" w:pos="-720"/>
        </w:tabs>
        <w:spacing w:after="480" w:line="240" w:lineRule="auto"/>
        <w:jc w:val="both"/>
        <w:rPr>
          <w:rFonts w:asciiTheme="minorHAnsi" w:hAnsiTheme="minorHAnsi"/>
          <w:b/>
        </w:rPr>
      </w:pPr>
      <w:r w:rsidRPr="005A25CE">
        <w:rPr>
          <w:rFonts w:asciiTheme="minorHAnsi" w:hAnsiTheme="minorHAnsi"/>
          <w:b/>
        </w:rPr>
        <w:t>podle zákona č. 89/2012 Sb., občanský zákoník, v platném znění tuto pojistnou smlouvu, která spolu s pojistnými podmínkami pojistitele a přílohami tvoří nedílný celek.</w:t>
      </w:r>
    </w:p>
    <w:tbl>
      <w:tblPr>
        <w:tblStyle w:val="Mkatabulky"/>
        <w:tblW w:w="1003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85"/>
        <w:gridCol w:w="3473"/>
        <w:gridCol w:w="3473"/>
      </w:tblGrid>
      <w:tr w:rsidR="005A25CE" w:rsidRPr="005A25CE" w:rsidTr="00531571">
        <w:trPr>
          <w:trHeight w:val="244"/>
        </w:trPr>
        <w:tc>
          <w:tcPr>
            <w:tcW w:w="3085" w:type="dxa"/>
          </w:tcPr>
          <w:p w:rsidR="00CF2EE6" w:rsidRPr="005A25CE" w:rsidRDefault="00CF2EE6" w:rsidP="00531571">
            <w:pPr>
              <w:autoSpaceDE w:val="0"/>
              <w:autoSpaceDN w:val="0"/>
              <w:adjustRightInd w:val="0"/>
              <w:rPr>
                <w:rFonts w:asciiTheme="minorHAnsi" w:hAnsiTheme="minorHAnsi"/>
                <w:b/>
                <w:sz w:val="20"/>
                <w:szCs w:val="20"/>
              </w:rPr>
            </w:pPr>
          </w:p>
        </w:tc>
        <w:tc>
          <w:tcPr>
            <w:tcW w:w="3473" w:type="dxa"/>
          </w:tcPr>
          <w:p w:rsidR="00CF2EE6" w:rsidRPr="005A25CE" w:rsidRDefault="00CF2EE6" w:rsidP="00531571">
            <w:pPr>
              <w:autoSpaceDE w:val="0"/>
              <w:autoSpaceDN w:val="0"/>
              <w:adjustRightInd w:val="0"/>
              <w:rPr>
                <w:rFonts w:asciiTheme="minorHAnsi" w:hAnsiTheme="minorHAnsi"/>
                <w:b/>
                <w:sz w:val="20"/>
                <w:szCs w:val="20"/>
              </w:rPr>
            </w:pPr>
            <w:r w:rsidRPr="005A25CE">
              <w:rPr>
                <w:rFonts w:asciiTheme="minorHAnsi" w:hAnsiTheme="minorHAnsi"/>
                <w:b/>
                <w:sz w:val="20"/>
                <w:szCs w:val="20"/>
              </w:rPr>
              <w:t>Hlavní pojišťovací zprostředkovatel</w:t>
            </w:r>
          </w:p>
        </w:tc>
        <w:tc>
          <w:tcPr>
            <w:tcW w:w="3473" w:type="dxa"/>
          </w:tcPr>
          <w:p w:rsidR="00CF2EE6" w:rsidRPr="005A25CE" w:rsidRDefault="00CF2EE6" w:rsidP="00531571">
            <w:pPr>
              <w:autoSpaceDE w:val="0"/>
              <w:autoSpaceDN w:val="0"/>
              <w:adjustRightInd w:val="0"/>
              <w:rPr>
                <w:rFonts w:asciiTheme="minorHAnsi" w:hAnsiTheme="minorHAnsi"/>
                <w:b/>
                <w:sz w:val="20"/>
                <w:szCs w:val="20"/>
              </w:rPr>
            </w:pPr>
            <w:r w:rsidRPr="005A25CE">
              <w:rPr>
                <w:rFonts w:asciiTheme="minorHAnsi" w:hAnsiTheme="minorHAnsi"/>
                <w:b/>
                <w:sz w:val="20"/>
                <w:szCs w:val="20"/>
              </w:rPr>
              <w:t>Podřízený pojišťovací zprostředkovatel</w:t>
            </w:r>
          </w:p>
        </w:tc>
      </w:tr>
      <w:tr w:rsidR="005A25CE" w:rsidRPr="005A25CE" w:rsidTr="00531571">
        <w:trPr>
          <w:trHeight w:val="244"/>
        </w:trPr>
        <w:tc>
          <w:tcPr>
            <w:tcW w:w="3085" w:type="dxa"/>
          </w:tcPr>
          <w:p w:rsidR="00CF2EE6" w:rsidRPr="005A25CE" w:rsidRDefault="00CF2EE6" w:rsidP="00531571">
            <w:pPr>
              <w:autoSpaceDE w:val="0"/>
              <w:autoSpaceDN w:val="0"/>
              <w:adjustRightInd w:val="0"/>
              <w:jc w:val="right"/>
              <w:rPr>
                <w:rFonts w:asciiTheme="minorHAnsi" w:hAnsiTheme="minorHAnsi"/>
                <w:b/>
                <w:sz w:val="20"/>
                <w:szCs w:val="20"/>
              </w:rPr>
            </w:pPr>
            <w:r w:rsidRPr="005A25CE">
              <w:rPr>
                <w:rFonts w:asciiTheme="minorHAnsi" w:hAnsiTheme="minorHAnsi"/>
                <w:b/>
                <w:sz w:val="20"/>
                <w:szCs w:val="20"/>
              </w:rPr>
              <w:t>Název:</w:t>
            </w:r>
          </w:p>
        </w:tc>
        <w:tc>
          <w:tcPr>
            <w:tcW w:w="3473" w:type="dxa"/>
          </w:tcPr>
          <w:p w:rsidR="00CF2EE6" w:rsidRPr="005A25CE" w:rsidRDefault="00142020" w:rsidP="00531571">
            <w:pPr>
              <w:autoSpaceDE w:val="0"/>
              <w:autoSpaceDN w:val="0"/>
              <w:adjustRightInd w:val="0"/>
              <w:rPr>
                <w:rFonts w:asciiTheme="minorHAnsi" w:hAnsiTheme="minorHAnsi"/>
                <w:sz w:val="20"/>
                <w:szCs w:val="20"/>
              </w:rPr>
            </w:pPr>
            <w:r w:rsidRPr="005A25CE">
              <w:rPr>
                <w:rFonts w:asciiTheme="minorHAnsi" w:hAnsiTheme="minorHAnsi"/>
                <w:sz w:val="20"/>
                <w:szCs w:val="20"/>
              </w:rPr>
              <w:t>SATUM CZECH s.r.o.</w:t>
            </w:r>
          </w:p>
        </w:tc>
        <w:tc>
          <w:tcPr>
            <w:tcW w:w="3473" w:type="dxa"/>
          </w:tcPr>
          <w:p w:rsidR="00CF2EE6" w:rsidRPr="005A25CE" w:rsidRDefault="00CF2EE6" w:rsidP="00531571">
            <w:pPr>
              <w:autoSpaceDE w:val="0"/>
              <w:autoSpaceDN w:val="0"/>
              <w:adjustRightInd w:val="0"/>
              <w:rPr>
                <w:rFonts w:asciiTheme="minorHAnsi" w:hAnsiTheme="minorHAnsi"/>
                <w:sz w:val="20"/>
                <w:szCs w:val="20"/>
              </w:rPr>
            </w:pPr>
          </w:p>
        </w:tc>
      </w:tr>
      <w:tr w:rsidR="005A25CE" w:rsidRPr="005A25CE" w:rsidTr="00531571">
        <w:trPr>
          <w:trHeight w:val="244"/>
        </w:trPr>
        <w:tc>
          <w:tcPr>
            <w:tcW w:w="3085" w:type="dxa"/>
          </w:tcPr>
          <w:p w:rsidR="00AA27D3" w:rsidRPr="005A25CE" w:rsidRDefault="00AA27D3" w:rsidP="00531571">
            <w:pPr>
              <w:autoSpaceDE w:val="0"/>
              <w:autoSpaceDN w:val="0"/>
              <w:adjustRightInd w:val="0"/>
              <w:jc w:val="right"/>
              <w:rPr>
                <w:rFonts w:asciiTheme="minorHAnsi" w:hAnsiTheme="minorHAnsi"/>
                <w:b/>
                <w:sz w:val="20"/>
                <w:szCs w:val="20"/>
              </w:rPr>
            </w:pPr>
            <w:r w:rsidRPr="005A25CE">
              <w:rPr>
                <w:rFonts w:asciiTheme="minorHAnsi" w:hAnsiTheme="minorHAnsi"/>
                <w:b/>
                <w:sz w:val="20"/>
                <w:szCs w:val="20"/>
              </w:rPr>
              <w:t>Sjednatelské číslo:</w:t>
            </w:r>
          </w:p>
        </w:tc>
        <w:tc>
          <w:tcPr>
            <w:tcW w:w="3473" w:type="dxa"/>
          </w:tcPr>
          <w:p w:rsidR="00AA27D3" w:rsidRPr="005A25CE" w:rsidRDefault="00AA27D3" w:rsidP="00FA05ED">
            <w:pPr>
              <w:autoSpaceDE w:val="0"/>
              <w:autoSpaceDN w:val="0"/>
              <w:adjustRightInd w:val="0"/>
              <w:rPr>
                <w:rFonts w:ascii="Calibri" w:hAnsi="Calibri"/>
                <w:sz w:val="20"/>
                <w:szCs w:val="20"/>
              </w:rPr>
            </w:pPr>
            <w:r w:rsidRPr="005A25CE">
              <w:rPr>
                <w:rFonts w:ascii="Calibri" w:hAnsi="Calibri"/>
                <w:sz w:val="20"/>
                <w:szCs w:val="20"/>
              </w:rPr>
              <w:t xml:space="preserve">9990493000  </w:t>
            </w:r>
          </w:p>
        </w:tc>
        <w:tc>
          <w:tcPr>
            <w:tcW w:w="3473" w:type="dxa"/>
          </w:tcPr>
          <w:p w:rsidR="00AA27D3" w:rsidRPr="005A25CE" w:rsidRDefault="00AA27D3" w:rsidP="00531571">
            <w:pPr>
              <w:autoSpaceDE w:val="0"/>
              <w:autoSpaceDN w:val="0"/>
              <w:adjustRightInd w:val="0"/>
              <w:rPr>
                <w:rFonts w:asciiTheme="minorHAnsi" w:hAnsiTheme="minorHAnsi"/>
                <w:sz w:val="20"/>
                <w:szCs w:val="20"/>
              </w:rPr>
            </w:pPr>
          </w:p>
        </w:tc>
      </w:tr>
      <w:tr w:rsidR="005A25CE" w:rsidRPr="005A25CE" w:rsidTr="00531571">
        <w:trPr>
          <w:trHeight w:val="244"/>
        </w:trPr>
        <w:tc>
          <w:tcPr>
            <w:tcW w:w="3085" w:type="dxa"/>
          </w:tcPr>
          <w:p w:rsidR="00AA27D3" w:rsidRPr="005A25CE" w:rsidRDefault="00AA27D3" w:rsidP="00531571">
            <w:pPr>
              <w:autoSpaceDE w:val="0"/>
              <w:autoSpaceDN w:val="0"/>
              <w:adjustRightInd w:val="0"/>
              <w:jc w:val="right"/>
              <w:rPr>
                <w:rFonts w:asciiTheme="minorHAnsi" w:hAnsiTheme="minorHAnsi"/>
                <w:b/>
                <w:sz w:val="20"/>
                <w:szCs w:val="20"/>
              </w:rPr>
            </w:pPr>
            <w:r w:rsidRPr="005A25CE">
              <w:rPr>
                <w:rFonts w:asciiTheme="minorHAnsi" w:hAnsiTheme="minorHAnsi"/>
                <w:b/>
                <w:sz w:val="20"/>
                <w:szCs w:val="20"/>
              </w:rPr>
              <w:t>Jméno a příjmení jednající osoby:</w:t>
            </w:r>
          </w:p>
        </w:tc>
        <w:tc>
          <w:tcPr>
            <w:tcW w:w="3473" w:type="dxa"/>
          </w:tcPr>
          <w:p w:rsidR="00AA27D3" w:rsidRPr="005A25CE" w:rsidRDefault="00C07E29" w:rsidP="00FA05ED">
            <w:pPr>
              <w:autoSpaceDE w:val="0"/>
              <w:autoSpaceDN w:val="0"/>
              <w:adjustRightInd w:val="0"/>
              <w:rPr>
                <w:rFonts w:ascii="Calibri" w:hAnsi="Calibri"/>
                <w:sz w:val="20"/>
                <w:szCs w:val="20"/>
              </w:rPr>
            </w:pPr>
            <w:r w:rsidRPr="005A25CE">
              <w:rPr>
                <w:rFonts w:ascii="Calibri" w:hAnsi="Calibri"/>
                <w:sz w:val="20"/>
                <w:szCs w:val="20"/>
              </w:rPr>
              <w:t>Martin Kaiser</w:t>
            </w:r>
          </w:p>
        </w:tc>
        <w:tc>
          <w:tcPr>
            <w:tcW w:w="3473" w:type="dxa"/>
          </w:tcPr>
          <w:p w:rsidR="00AA27D3" w:rsidRPr="005A25CE" w:rsidRDefault="00AA27D3" w:rsidP="00531571">
            <w:pPr>
              <w:autoSpaceDE w:val="0"/>
              <w:autoSpaceDN w:val="0"/>
              <w:adjustRightInd w:val="0"/>
              <w:rPr>
                <w:rFonts w:asciiTheme="minorHAnsi" w:hAnsiTheme="minorHAnsi"/>
                <w:sz w:val="20"/>
                <w:szCs w:val="20"/>
              </w:rPr>
            </w:pPr>
          </w:p>
        </w:tc>
      </w:tr>
      <w:tr w:rsidR="00AA27D3" w:rsidRPr="005A25CE" w:rsidTr="00531571">
        <w:trPr>
          <w:trHeight w:val="244"/>
        </w:trPr>
        <w:tc>
          <w:tcPr>
            <w:tcW w:w="3085" w:type="dxa"/>
          </w:tcPr>
          <w:p w:rsidR="00AA27D3" w:rsidRPr="005A25CE" w:rsidRDefault="00AA27D3" w:rsidP="00531571">
            <w:pPr>
              <w:autoSpaceDE w:val="0"/>
              <w:autoSpaceDN w:val="0"/>
              <w:adjustRightInd w:val="0"/>
              <w:jc w:val="right"/>
              <w:rPr>
                <w:rFonts w:asciiTheme="minorHAnsi" w:hAnsiTheme="minorHAnsi"/>
                <w:b/>
                <w:sz w:val="20"/>
                <w:szCs w:val="20"/>
              </w:rPr>
            </w:pPr>
            <w:r w:rsidRPr="005A25CE">
              <w:rPr>
                <w:rFonts w:asciiTheme="minorHAnsi" w:hAnsiTheme="minorHAnsi"/>
                <w:b/>
                <w:sz w:val="20"/>
                <w:szCs w:val="20"/>
              </w:rPr>
              <w:t>Registrační číslo ČNB:</w:t>
            </w:r>
          </w:p>
        </w:tc>
        <w:tc>
          <w:tcPr>
            <w:tcW w:w="3473" w:type="dxa"/>
          </w:tcPr>
          <w:p w:rsidR="00AA27D3" w:rsidRPr="005A25CE" w:rsidRDefault="00AA27D3" w:rsidP="00FA05ED">
            <w:pPr>
              <w:autoSpaceDE w:val="0"/>
              <w:autoSpaceDN w:val="0"/>
              <w:adjustRightInd w:val="0"/>
              <w:rPr>
                <w:rFonts w:ascii="Calibri" w:hAnsi="Calibri"/>
                <w:sz w:val="20"/>
                <w:szCs w:val="20"/>
              </w:rPr>
            </w:pPr>
            <w:r w:rsidRPr="005A25CE">
              <w:rPr>
                <w:rFonts w:ascii="Calibri" w:hAnsi="Calibri"/>
                <w:sz w:val="20"/>
                <w:szCs w:val="20"/>
              </w:rPr>
              <w:t>000032PM</w:t>
            </w:r>
          </w:p>
        </w:tc>
        <w:tc>
          <w:tcPr>
            <w:tcW w:w="3473" w:type="dxa"/>
          </w:tcPr>
          <w:p w:rsidR="00AA27D3" w:rsidRPr="005A25CE" w:rsidRDefault="00AA27D3" w:rsidP="00531571">
            <w:pPr>
              <w:autoSpaceDE w:val="0"/>
              <w:autoSpaceDN w:val="0"/>
              <w:adjustRightInd w:val="0"/>
              <w:rPr>
                <w:rFonts w:asciiTheme="minorHAnsi" w:hAnsiTheme="minorHAnsi"/>
                <w:sz w:val="20"/>
                <w:szCs w:val="20"/>
              </w:rPr>
            </w:pPr>
          </w:p>
        </w:tc>
      </w:tr>
    </w:tbl>
    <w:p w:rsidR="00CF2EE6" w:rsidRPr="005A25CE" w:rsidRDefault="00CF2EE6" w:rsidP="00CF2EE6">
      <w:pPr>
        <w:pStyle w:val="Zkladntext31"/>
        <w:tabs>
          <w:tab w:val="clear" w:pos="-720"/>
        </w:tabs>
        <w:spacing w:line="240" w:lineRule="auto"/>
        <w:jc w:val="both"/>
        <w:rPr>
          <w:rFonts w:asciiTheme="minorHAnsi" w:hAnsiTheme="minorHAnsi"/>
          <w:b/>
        </w:rPr>
      </w:pPr>
    </w:p>
    <w:tbl>
      <w:tblPr>
        <w:tblStyle w:val="Mkatabulky"/>
        <w:tblW w:w="1003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85"/>
        <w:gridCol w:w="6946"/>
      </w:tblGrid>
      <w:tr w:rsidR="005A25CE" w:rsidRPr="005A25CE" w:rsidTr="00531571">
        <w:trPr>
          <w:trHeight w:val="244"/>
        </w:trPr>
        <w:tc>
          <w:tcPr>
            <w:tcW w:w="3085" w:type="dxa"/>
          </w:tcPr>
          <w:p w:rsidR="00142020" w:rsidRPr="005A25CE" w:rsidRDefault="00142020" w:rsidP="00531571">
            <w:pPr>
              <w:autoSpaceDE w:val="0"/>
              <w:autoSpaceDN w:val="0"/>
              <w:adjustRightInd w:val="0"/>
              <w:rPr>
                <w:rFonts w:asciiTheme="minorHAnsi" w:hAnsiTheme="minorHAnsi"/>
                <w:b/>
                <w:sz w:val="20"/>
                <w:szCs w:val="20"/>
              </w:rPr>
            </w:pPr>
            <w:r w:rsidRPr="005A25CE">
              <w:rPr>
                <w:rFonts w:asciiTheme="minorHAnsi" w:hAnsiTheme="minorHAnsi"/>
                <w:b/>
                <w:sz w:val="20"/>
                <w:szCs w:val="20"/>
              </w:rPr>
              <w:t>Vypracoval (pečovatel):</w:t>
            </w:r>
          </w:p>
        </w:tc>
        <w:tc>
          <w:tcPr>
            <w:tcW w:w="6946" w:type="dxa"/>
          </w:tcPr>
          <w:p w:rsidR="00142020" w:rsidRPr="005A25CE" w:rsidRDefault="008D0176" w:rsidP="001951AB">
            <w:pPr>
              <w:autoSpaceDE w:val="0"/>
              <w:autoSpaceDN w:val="0"/>
              <w:adjustRightInd w:val="0"/>
              <w:rPr>
                <w:rFonts w:asciiTheme="minorHAnsi" w:hAnsiTheme="minorHAnsi"/>
                <w:sz w:val="20"/>
                <w:szCs w:val="20"/>
              </w:rPr>
            </w:pPr>
            <w:r w:rsidRPr="005A25CE">
              <w:rPr>
                <w:rFonts w:asciiTheme="minorHAnsi" w:hAnsiTheme="minorHAnsi"/>
                <w:sz w:val="20"/>
                <w:szCs w:val="20"/>
              </w:rPr>
              <w:t>Ing. Pavlína Richtrová, pr12932</w:t>
            </w:r>
          </w:p>
        </w:tc>
      </w:tr>
      <w:tr w:rsidR="00142020" w:rsidRPr="005A25CE" w:rsidTr="00531571">
        <w:trPr>
          <w:trHeight w:val="244"/>
        </w:trPr>
        <w:tc>
          <w:tcPr>
            <w:tcW w:w="3085" w:type="dxa"/>
          </w:tcPr>
          <w:p w:rsidR="00142020" w:rsidRPr="005A25CE" w:rsidRDefault="00142020" w:rsidP="00531571">
            <w:pPr>
              <w:autoSpaceDE w:val="0"/>
              <w:autoSpaceDN w:val="0"/>
              <w:adjustRightInd w:val="0"/>
              <w:rPr>
                <w:rFonts w:asciiTheme="minorHAnsi" w:hAnsiTheme="minorHAnsi"/>
                <w:b/>
                <w:sz w:val="20"/>
                <w:szCs w:val="20"/>
              </w:rPr>
            </w:pPr>
            <w:r w:rsidRPr="005A25CE">
              <w:rPr>
                <w:rFonts w:asciiTheme="minorHAnsi" w:hAnsiTheme="minorHAnsi"/>
                <w:b/>
                <w:sz w:val="20"/>
                <w:szCs w:val="20"/>
              </w:rPr>
              <w:t>Správa pojistné smlouvy:</w:t>
            </w:r>
          </w:p>
        </w:tc>
        <w:tc>
          <w:tcPr>
            <w:tcW w:w="6946" w:type="dxa"/>
          </w:tcPr>
          <w:p w:rsidR="00142020" w:rsidRPr="005A25CE" w:rsidRDefault="00142020" w:rsidP="00531571">
            <w:pPr>
              <w:autoSpaceDE w:val="0"/>
              <w:autoSpaceDN w:val="0"/>
              <w:adjustRightInd w:val="0"/>
              <w:rPr>
                <w:rFonts w:asciiTheme="minorHAnsi" w:hAnsiTheme="minorHAnsi"/>
                <w:sz w:val="20"/>
                <w:szCs w:val="20"/>
              </w:rPr>
            </w:pPr>
            <w:r w:rsidRPr="005A25CE">
              <w:rPr>
                <w:rFonts w:asciiTheme="minorHAnsi" w:hAnsiTheme="minorHAnsi"/>
                <w:sz w:val="20"/>
                <w:szCs w:val="20"/>
              </w:rPr>
              <w:t>OKK RŘ Ostrava, 8890099000</w:t>
            </w:r>
          </w:p>
        </w:tc>
      </w:tr>
    </w:tbl>
    <w:p w:rsidR="00A05C51" w:rsidRPr="005A25CE" w:rsidRDefault="00A05C51" w:rsidP="007E5643">
      <w:pPr>
        <w:jc w:val="center"/>
        <w:rPr>
          <w:rFonts w:asciiTheme="minorHAnsi" w:hAnsiTheme="minorHAnsi"/>
          <w:sz w:val="20"/>
          <w:szCs w:val="20"/>
        </w:rPr>
      </w:pPr>
    </w:p>
    <w:p w:rsidR="007E5643" w:rsidRPr="005A25CE" w:rsidRDefault="007E5643" w:rsidP="007E5643">
      <w:pPr>
        <w:jc w:val="center"/>
        <w:rPr>
          <w:rFonts w:asciiTheme="minorHAnsi" w:hAnsiTheme="minorHAnsi"/>
          <w:b/>
          <w:sz w:val="20"/>
        </w:rPr>
      </w:pPr>
      <w:r w:rsidRPr="005A25CE">
        <w:rPr>
          <w:rFonts w:asciiTheme="minorHAnsi" w:hAnsiTheme="minorHAnsi"/>
          <w:b/>
          <w:sz w:val="20"/>
        </w:rPr>
        <w:lastRenderedPageBreak/>
        <w:t>Článek I.</w:t>
      </w:r>
    </w:p>
    <w:p w:rsidR="007E5643" w:rsidRPr="005A25CE" w:rsidRDefault="007E5643" w:rsidP="007E5643">
      <w:pPr>
        <w:pStyle w:val="Nadpis9"/>
        <w:numPr>
          <w:ilvl w:val="0"/>
          <w:numId w:val="0"/>
        </w:numPr>
        <w:rPr>
          <w:rFonts w:asciiTheme="minorHAnsi" w:hAnsiTheme="minorHAnsi"/>
        </w:rPr>
      </w:pPr>
      <w:r w:rsidRPr="005A25CE">
        <w:rPr>
          <w:rFonts w:asciiTheme="minorHAnsi" w:hAnsiTheme="minorHAnsi"/>
        </w:rPr>
        <w:t>Úvodní ustanovení</w:t>
      </w:r>
    </w:p>
    <w:p w:rsidR="007E5643" w:rsidRPr="005A25CE" w:rsidRDefault="007E5643" w:rsidP="00142020">
      <w:pPr>
        <w:numPr>
          <w:ilvl w:val="0"/>
          <w:numId w:val="2"/>
        </w:numPr>
        <w:tabs>
          <w:tab w:val="num" w:pos="-1800"/>
        </w:tabs>
        <w:spacing w:before="60"/>
        <w:jc w:val="both"/>
        <w:rPr>
          <w:rFonts w:asciiTheme="minorHAnsi" w:hAnsiTheme="minorHAnsi"/>
          <w:iCs/>
          <w:sz w:val="20"/>
          <w:szCs w:val="20"/>
        </w:rPr>
      </w:pPr>
      <w:r w:rsidRPr="005A25CE">
        <w:rPr>
          <w:rFonts w:asciiTheme="minorHAnsi" w:hAnsiTheme="minorHAnsi"/>
          <w:iCs/>
          <w:sz w:val="20"/>
          <w:szCs w:val="20"/>
        </w:rPr>
        <w:t>Členský stát sídla pojistitele: Česká republika</w:t>
      </w:r>
    </w:p>
    <w:p w:rsidR="00B04D46" w:rsidRPr="005A25CE" w:rsidRDefault="00767C92" w:rsidP="00B04D46">
      <w:pPr>
        <w:numPr>
          <w:ilvl w:val="0"/>
          <w:numId w:val="2"/>
        </w:numPr>
        <w:tabs>
          <w:tab w:val="num" w:pos="-1800"/>
        </w:tabs>
        <w:spacing w:before="60"/>
        <w:jc w:val="both"/>
        <w:rPr>
          <w:rFonts w:asciiTheme="minorHAnsi" w:hAnsiTheme="minorHAnsi"/>
          <w:sz w:val="20"/>
          <w:szCs w:val="20"/>
        </w:rPr>
      </w:pPr>
      <w:r w:rsidRPr="005A25CE">
        <w:rPr>
          <w:rFonts w:asciiTheme="minorHAnsi" w:hAnsiTheme="minorHAnsi"/>
          <w:sz w:val="20"/>
          <w:szCs w:val="20"/>
        </w:rPr>
        <w:t xml:space="preserve">Pojištěnými dle této pojistné smlouvy jsou </w:t>
      </w:r>
      <w:r w:rsidR="00530463" w:rsidRPr="005A25CE">
        <w:rPr>
          <w:rFonts w:asciiTheme="minorHAnsi" w:hAnsiTheme="minorHAnsi"/>
          <w:sz w:val="20"/>
          <w:szCs w:val="20"/>
        </w:rPr>
        <w:t>osob</w:t>
      </w:r>
      <w:r w:rsidRPr="005A25CE">
        <w:rPr>
          <w:rFonts w:asciiTheme="minorHAnsi" w:hAnsiTheme="minorHAnsi"/>
          <w:sz w:val="20"/>
          <w:szCs w:val="20"/>
        </w:rPr>
        <w:t>y</w:t>
      </w:r>
      <w:r w:rsidR="00530463" w:rsidRPr="005A25CE">
        <w:rPr>
          <w:rFonts w:asciiTheme="minorHAnsi" w:hAnsiTheme="minorHAnsi"/>
          <w:sz w:val="20"/>
          <w:szCs w:val="20"/>
        </w:rPr>
        <w:t xml:space="preserve"> </w:t>
      </w:r>
      <w:r w:rsidRPr="005A25CE">
        <w:rPr>
          <w:rFonts w:asciiTheme="minorHAnsi" w:hAnsiTheme="minorHAnsi"/>
          <w:sz w:val="20"/>
          <w:szCs w:val="20"/>
        </w:rPr>
        <w:t>specifikované</w:t>
      </w:r>
      <w:r w:rsidR="00530463" w:rsidRPr="005A25CE">
        <w:rPr>
          <w:rFonts w:asciiTheme="minorHAnsi" w:hAnsiTheme="minorHAnsi"/>
          <w:sz w:val="20"/>
          <w:szCs w:val="20"/>
        </w:rPr>
        <w:t xml:space="preserve"> v článku II, v jejichž</w:t>
      </w:r>
      <w:r w:rsidR="00BA0365" w:rsidRPr="005A25CE">
        <w:rPr>
          <w:rFonts w:asciiTheme="minorHAnsi" w:hAnsiTheme="minorHAnsi"/>
          <w:sz w:val="20"/>
          <w:szCs w:val="20"/>
        </w:rPr>
        <w:t xml:space="preserve"> prospěch je pojištění sjednáno a kteří jsou členy </w:t>
      </w:r>
      <w:r w:rsidR="00B04D46" w:rsidRPr="005A25CE">
        <w:rPr>
          <w:rFonts w:asciiTheme="minorHAnsi" w:hAnsiTheme="minorHAnsi"/>
          <w:sz w:val="20"/>
          <w:szCs w:val="20"/>
        </w:rPr>
        <w:t>základní organizace oborového svazu (dále jen „ZO OS“) pojistníka.</w:t>
      </w:r>
    </w:p>
    <w:p w:rsidR="00214616" w:rsidRPr="005A25CE" w:rsidRDefault="00214616" w:rsidP="0092624E">
      <w:pPr>
        <w:numPr>
          <w:ilvl w:val="0"/>
          <w:numId w:val="2"/>
        </w:numPr>
        <w:tabs>
          <w:tab w:val="clear" w:pos="360"/>
          <w:tab w:val="num" w:pos="-1800"/>
        </w:tabs>
        <w:spacing w:before="60"/>
        <w:ind w:left="426" w:hanging="426"/>
        <w:jc w:val="both"/>
        <w:rPr>
          <w:rFonts w:asciiTheme="minorHAnsi" w:hAnsiTheme="minorHAnsi"/>
          <w:sz w:val="20"/>
          <w:szCs w:val="20"/>
        </w:rPr>
      </w:pPr>
      <w:r w:rsidRPr="005A25CE">
        <w:rPr>
          <w:rFonts w:asciiTheme="minorHAnsi" w:hAnsiTheme="minorHAnsi"/>
          <w:sz w:val="20"/>
          <w:szCs w:val="20"/>
        </w:rPr>
        <w:t>Pojištění se vztahuje pouze na odpovědnost z pracovních poměrů pojištěných</w:t>
      </w:r>
      <w:r w:rsidR="008C7673" w:rsidRPr="005A25CE">
        <w:rPr>
          <w:rFonts w:asciiTheme="minorHAnsi" w:hAnsiTheme="minorHAnsi"/>
          <w:sz w:val="20"/>
          <w:szCs w:val="20"/>
        </w:rPr>
        <w:t xml:space="preserve"> u </w:t>
      </w:r>
      <w:r w:rsidRPr="005A25CE">
        <w:rPr>
          <w:rFonts w:asciiTheme="minorHAnsi" w:hAnsiTheme="minorHAnsi"/>
          <w:sz w:val="20"/>
          <w:szCs w:val="20"/>
        </w:rPr>
        <w:t>níže uvedené společnosti</w:t>
      </w:r>
      <w:r w:rsidR="008C7673" w:rsidRPr="005A25CE">
        <w:rPr>
          <w:rFonts w:asciiTheme="minorHAnsi" w:hAnsiTheme="minorHAnsi"/>
          <w:sz w:val="20"/>
          <w:szCs w:val="20"/>
        </w:rPr>
        <w:t xml:space="preserve"> </w:t>
      </w:r>
      <w:r w:rsidR="00B04D46" w:rsidRPr="005A25CE">
        <w:rPr>
          <w:rFonts w:asciiTheme="minorHAnsi" w:hAnsiTheme="minorHAnsi"/>
          <w:sz w:val="20"/>
          <w:szCs w:val="20"/>
        </w:rPr>
        <w:t>(</w:t>
      </w:r>
      <w:r w:rsidR="008C7673" w:rsidRPr="005A25CE">
        <w:rPr>
          <w:rFonts w:asciiTheme="minorHAnsi" w:hAnsiTheme="minorHAnsi"/>
          <w:sz w:val="20"/>
          <w:szCs w:val="20"/>
        </w:rPr>
        <w:t>zaměstnavatele)</w:t>
      </w:r>
      <w:r w:rsidRPr="005A25CE">
        <w:rPr>
          <w:rFonts w:asciiTheme="minorHAnsi" w:hAnsiTheme="minorHAnsi"/>
          <w:sz w:val="20"/>
          <w:szCs w:val="20"/>
        </w:rPr>
        <w:t>:</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1276"/>
        <w:gridCol w:w="4899"/>
      </w:tblGrid>
      <w:tr w:rsidR="005A25CE" w:rsidRPr="005A25CE" w:rsidTr="00FA05ED">
        <w:tc>
          <w:tcPr>
            <w:tcW w:w="3434" w:type="dxa"/>
          </w:tcPr>
          <w:p w:rsidR="00214616" w:rsidRPr="005A25CE" w:rsidRDefault="00214616" w:rsidP="00FA05ED">
            <w:pPr>
              <w:jc w:val="both"/>
              <w:rPr>
                <w:rFonts w:asciiTheme="minorHAnsi" w:hAnsiTheme="minorHAnsi"/>
                <w:b/>
                <w:iCs/>
                <w:sz w:val="20"/>
                <w:szCs w:val="20"/>
              </w:rPr>
            </w:pPr>
            <w:r w:rsidRPr="005A25CE">
              <w:rPr>
                <w:rFonts w:asciiTheme="minorHAnsi" w:hAnsiTheme="minorHAnsi"/>
                <w:b/>
                <w:iCs/>
                <w:sz w:val="20"/>
                <w:szCs w:val="20"/>
              </w:rPr>
              <w:t>Název</w:t>
            </w:r>
          </w:p>
        </w:tc>
        <w:tc>
          <w:tcPr>
            <w:tcW w:w="1276" w:type="dxa"/>
          </w:tcPr>
          <w:p w:rsidR="00214616" w:rsidRPr="005A25CE" w:rsidRDefault="00214616" w:rsidP="00FA05ED">
            <w:pPr>
              <w:jc w:val="both"/>
              <w:rPr>
                <w:rFonts w:asciiTheme="minorHAnsi" w:hAnsiTheme="minorHAnsi"/>
                <w:b/>
                <w:iCs/>
                <w:sz w:val="20"/>
                <w:szCs w:val="20"/>
              </w:rPr>
            </w:pPr>
            <w:r w:rsidRPr="005A25CE">
              <w:rPr>
                <w:rFonts w:asciiTheme="minorHAnsi" w:hAnsiTheme="minorHAnsi"/>
                <w:b/>
                <w:iCs/>
                <w:sz w:val="20"/>
                <w:szCs w:val="20"/>
              </w:rPr>
              <w:t>IČ</w:t>
            </w:r>
          </w:p>
        </w:tc>
        <w:tc>
          <w:tcPr>
            <w:tcW w:w="4899" w:type="dxa"/>
          </w:tcPr>
          <w:p w:rsidR="00214616" w:rsidRPr="005A25CE" w:rsidRDefault="00214616" w:rsidP="00FA05ED">
            <w:pPr>
              <w:jc w:val="both"/>
              <w:rPr>
                <w:rFonts w:asciiTheme="minorHAnsi" w:hAnsiTheme="minorHAnsi"/>
                <w:b/>
                <w:iCs/>
                <w:sz w:val="20"/>
                <w:szCs w:val="20"/>
              </w:rPr>
            </w:pPr>
            <w:r w:rsidRPr="005A25CE">
              <w:rPr>
                <w:rFonts w:asciiTheme="minorHAnsi" w:hAnsiTheme="minorHAnsi"/>
                <w:b/>
                <w:iCs/>
                <w:sz w:val="20"/>
                <w:szCs w:val="20"/>
              </w:rPr>
              <w:t>Sídlo</w:t>
            </w:r>
          </w:p>
        </w:tc>
      </w:tr>
      <w:tr w:rsidR="00214616" w:rsidRPr="005A25CE" w:rsidTr="00FA05ED">
        <w:tc>
          <w:tcPr>
            <w:tcW w:w="3434" w:type="dxa"/>
          </w:tcPr>
          <w:p w:rsidR="00214616" w:rsidRPr="005A25CE" w:rsidRDefault="00214616" w:rsidP="00FA05ED">
            <w:pPr>
              <w:pStyle w:val="Zkladntext21"/>
              <w:ind w:left="0"/>
              <w:rPr>
                <w:rFonts w:asciiTheme="minorHAnsi" w:hAnsiTheme="minorHAnsi"/>
                <w:iCs/>
              </w:rPr>
            </w:pPr>
          </w:p>
        </w:tc>
        <w:tc>
          <w:tcPr>
            <w:tcW w:w="1276" w:type="dxa"/>
          </w:tcPr>
          <w:p w:rsidR="00214616" w:rsidRPr="005A25CE" w:rsidRDefault="00214616" w:rsidP="00FA05ED">
            <w:pPr>
              <w:pStyle w:val="Zkladntext21"/>
              <w:ind w:left="0"/>
              <w:rPr>
                <w:rFonts w:asciiTheme="minorHAnsi" w:hAnsiTheme="minorHAnsi"/>
                <w:iCs/>
              </w:rPr>
            </w:pPr>
          </w:p>
        </w:tc>
        <w:tc>
          <w:tcPr>
            <w:tcW w:w="4899" w:type="dxa"/>
          </w:tcPr>
          <w:p w:rsidR="00214616" w:rsidRPr="005A25CE" w:rsidRDefault="00214616" w:rsidP="00FA05ED">
            <w:pPr>
              <w:pStyle w:val="Zkladntext21"/>
              <w:ind w:left="0"/>
              <w:rPr>
                <w:rFonts w:asciiTheme="minorHAnsi" w:hAnsiTheme="minorHAnsi"/>
                <w:iCs/>
              </w:rPr>
            </w:pPr>
          </w:p>
        </w:tc>
      </w:tr>
    </w:tbl>
    <w:p w:rsidR="00214616" w:rsidRPr="005A25CE" w:rsidRDefault="00214616" w:rsidP="008C7673">
      <w:pPr>
        <w:spacing w:before="60"/>
        <w:ind w:left="360"/>
        <w:jc w:val="both"/>
        <w:rPr>
          <w:rFonts w:asciiTheme="minorHAnsi" w:hAnsiTheme="minorHAnsi"/>
          <w:sz w:val="20"/>
          <w:szCs w:val="20"/>
        </w:rPr>
      </w:pPr>
    </w:p>
    <w:p w:rsidR="00142020" w:rsidRPr="005A25CE" w:rsidRDefault="007E5643" w:rsidP="00D8585B">
      <w:pPr>
        <w:numPr>
          <w:ilvl w:val="0"/>
          <w:numId w:val="2"/>
        </w:numPr>
        <w:tabs>
          <w:tab w:val="num" w:pos="-1800"/>
        </w:tabs>
        <w:spacing w:before="60"/>
        <w:jc w:val="both"/>
      </w:pPr>
      <w:r w:rsidRPr="005A25CE">
        <w:rPr>
          <w:rFonts w:asciiTheme="minorHAnsi" w:hAnsiTheme="minorHAnsi"/>
          <w:b/>
          <w:sz w:val="20"/>
          <w:szCs w:val="20"/>
        </w:rPr>
        <w:t xml:space="preserve">Předmět podnikání nebo činnosti </w:t>
      </w:r>
      <w:r w:rsidR="00AF60E1" w:rsidRPr="005A25CE">
        <w:rPr>
          <w:rFonts w:asciiTheme="minorHAnsi" w:hAnsiTheme="minorHAnsi"/>
          <w:b/>
          <w:sz w:val="20"/>
          <w:szCs w:val="20"/>
        </w:rPr>
        <w:t>pojistníka</w:t>
      </w:r>
      <w:r w:rsidRPr="005A25CE">
        <w:rPr>
          <w:rFonts w:asciiTheme="minorHAnsi" w:hAnsiTheme="minorHAnsi"/>
          <w:sz w:val="20"/>
          <w:szCs w:val="20"/>
        </w:rPr>
        <w:t xml:space="preserve"> ke dni uzavření této pojistné smlouvy je uveden v přiložené kop</w:t>
      </w:r>
      <w:r w:rsidR="00B04D46" w:rsidRPr="005A25CE">
        <w:rPr>
          <w:rFonts w:asciiTheme="minorHAnsi" w:hAnsiTheme="minorHAnsi"/>
          <w:sz w:val="20"/>
          <w:szCs w:val="20"/>
        </w:rPr>
        <w:t>ii</w:t>
      </w:r>
      <w:r w:rsidR="0092624E" w:rsidRPr="005A25CE">
        <w:rPr>
          <w:rFonts w:asciiTheme="minorHAnsi" w:hAnsiTheme="minorHAnsi"/>
          <w:sz w:val="20"/>
          <w:szCs w:val="20"/>
        </w:rPr>
        <w:t xml:space="preserve"> výpisu z obchodního rejstříku</w:t>
      </w:r>
      <w:r w:rsidRPr="005A25CE">
        <w:rPr>
          <w:rFonts w:asciiTheme="minorHAnsi" w:hAnsiTheme="minorHAnsi"/>
          <w:sz w:val="20"/>
          <w:szCs w:val="20"/>
        </w:rPr>
        <w:t xml:space="preserve">, </w:t>
      </w:r>
      <w:r w:rsidRPr="005A25CE">
        <w:rPr>
          <w:rFonts w:asciiTheme="minorHAnsi" w:hAnsiTheme="minorHAnsi"/>
          <w:iCs/>
          <w:sz w:val="20"/>
          <w:szCs w:val="20"/>
        </w:rPr>
        <w:t xml:space="preserve">která tvoří </w:t>
      </w:r>
      <w:r w:rsidR="00CF3885" w:rsidRPr="005A25CE">
        <w:rPr>
          <w:rFonts w:asciiTheme="minorHAnsi" w:hAnsiTheme="minorHAnsi"/>
          <w:iCs/>
          <w:sz w:val="20"/>
          <w:szCs w:val="20"/>
        </w:rPr>
        <w:t xml:space="preserve">přílohu č. </w:t>
      </w:r>
      <w:r w:rsidR="006337C2" w:rsidRPr="005A25CE">
        <w:rPr>
          <w:rFonts w:asciiTheme="minorHAnsi" w:hAnsiTheme="minorHAnsi"/>
          <w:iCs/>
          <w:sz w:val="20"/>
          <w:szCs w:val="20"/>
        </w:rPr>
        <w:t>3</w:t>
      </w:r>
      <w:r w:rsidRPr="005A25CE">
        <w:rPr>
          <w:rFonts w:asciiTheme="minorHAnsi" w:hAnsiTheme="minorHAnsi"/>
          <w:iCs/>
          <w:sz w:val="20"/>
          <w:szCs w:val="20"/>
        </w:rPr>
        <w:t xml:space="preserve"> pojistné smlouvy</w:t>
      </w:r>
      <w:r w:rsidR="00BC5BD1" w:rsidRPr="005A25CE">
        <w:rPr>
          <w:rFonts w:asciiTheme="minorHAnsi" w:hAnsiTheme="minorHAnsi"/>
          <w:iCs/>
          <w:sz w:val="20"/>
          <w:szCs w:val="20"/>
        </w:rPr>
        <w:t>.</w:t>
      </w:r>
    </w:p>
    <w:p w:rsidR="007E5643" w:rsidRPr="005A25CE" w:rsidRDefault="007E5643" w:rsidP="007E5643">
      <w:pPr>
        <w:numPr>
          <w:ilvl w:val="0"/>
          <w:numId w:val="2"/>
        </w:numPr>
        <w:spacing w:before="60"/>
        <w:jc w:val="both"/>
        <w:rPr>
          <w:rFonts w:asciiTheme="minorHAnsi" w:hAnsiTheme="minorHAnsi"/>
          <w:sz w:val="20"/>
          <w:szCs w:val="20"/>
          <w:u w:val="single"/>
        </w:rPr>
      </w:pPr>
      <w:r w:rsidRPr="005A25CE">
        <w:rPr>
          <w:rFonts w:asciiTheme="minorHAnsi" w:hAnsiTheme="minorHAnsi"/>
          <w:sz w:val="20"/>
          <w:szCs w:val="20"/>
        </w:rPr>
        <w:t>Pojištění se řídí Všeobecnými pojistnými podmínkami (dále jen VPP)</w:t>
      </w:r>
      <w:r w:rsidR="00AF60E1" w:rsidRPr="005A25CE">
        <w:rPr>
          <w:rFonts w:asciiTheme="minorHAnsi" w:hAnsiTheme="minorHAnsi"/>
          <w:sz w:val="20"/>
          <w:szCs w:val="20"/>
        </w:rPr>
        <w:t xml:space="preserve"> a</w:t>
      </w:r>
      <w:r w:rsidRPr="005A25CE">
        <w:rPr>
          <w:rFonts w:asciiTheme="minorHAnsi" w:hAnsiTheme="minorHAnsi"/>
          <w:sz w:val="20"/>
          <w:szCs w:val="20"/>
        </w:rPr>
        <w:t xml:space="preserve"> Doplňkovými pojistnými podmínkami (dále jen DPP)</w:t>
      </w:r>
      <w:r w:rsidR="00AF60E1" w:rsidRPr="005A25CE">
        <w:rPr>
          <w:rFonts w:asciiTheme="minorHAnsi" w:hAnsiTheme="minorHAnsi"/>
          <w:sz w:val="20"/>
          <w:szCs w:val="20"/>
        </w:rPr>
        <w:t xml:space="preserve"> </w:t>
      </w:r>
      <w:r w:rsidRPr="005A25CE">
        <w:rPr>
          <w:rFonts w:asciiTheme="minorHAnsi" w:hAnsiTheme="minorHAnsi"/>
          <w:sz w:val="20"/>
          <w:szCs w:val="20"/>
        </w:rPr>
        <w:t>uvedenými v čl. II pojistné smlouvy a dále ujednáními sjednanými v pojistné smlouvě. VPP</w:t>
      </w:r>
      <w:r w:rsidR="00AF60E1" w:rsidRPr="005A25CE">
        <w:rPr>
          <w:rFonts w:asciiTheme="minorHAnsi" w:hAnsiTheme="minorHAnsi"/>
          <w:sz w:val="20"/>
          <w:szCs w:val="20"/>
        </w:rPr>
        <w:t xml:space="preserve"> a </w:t>
      </w:r>
      <w:r w:rsidRPr="005A25CE">
        <w:rPr>
          <w:rFonts w:asciiTheme="minorHAnsi" w:hAnsiTheme="minorHAnsi"/>
          <w:sz w:val="20"/>
          <w:szCs w:val="20"/>
        </w:rPr>
        <w:t xml:space="preserve">DPP tvoří přílohu č. </w:t>
      </w:r>
      <w:r w:rsidR="006337C2" w:rsidRPr="005A25CE">
        <w:rPr>
          <w:rFonts w:asciiTheme="minorHAnsi" w:hAnsiTheme="minorHAnsi"/>
          <w:sz w:val="20"/>
          <w:szCs w:val="20"/>
        </w:rPr>
        <w:t>4</w:t>
      </w:r>
      <w:r w:rsidRPr="005A25CE">
        <w:rPr>
          <w:rFonts w:asciiTheme="minorHAnsi" w:hAnsiTheme="minorHAnsi"/>
          <w:sz w:val="20"/>
          <w:szCs w:val="20"/>
        </w:rPr>
        <w:t xml:space="preserve"> pojistné smlouvy.</w:t>
      </w:r>
    </w:p>
    <w:p w:rsidR="007E5643" w:rsidRPr="005A25CE" w:rsidRDefault="007E5643" w:rsidP="007E5643">
      <w:pPr>
        <w:numPr>
          <w:ilvl w:val="0"/>
          <w:numId w:val="2"/>
        </w:numPr>
        <w:tabs>
          <w:tab w:val="num" w:pos="-1800"/>
        </w:tabs>
        <w:spacing w:before="60"/>
        <w:jc w:val="both"/>
        <w:rPr>
          <w:rFonts w:asciiTheme="minorHAnsi" w:hAnsiTheme="minorHAnsi"/>
          <w:sz w:val="20"/>
          <w:szCs w:val="20"/>
        </w:rPr>
      </w:pPr>
      <w:r w:rsidRPr="005A25CE">
        <w:rPr>
          <w:rFonts w:asciiTheme="minorHAnsi" w:hAnsiTheme="minorHAnsi"/>
          <w:sz w:val="20"/>
          <w:szCs w:val="20"/>
        </w:rPr>
        <w:t>Oprávněná osoba: osoba, které v důsledku pojistné události vznikne právo na pojistné plnění podle příslušných VPP</w:t>
      </w:r>
      <w:r w:rsidR="009F7DFB" w:rsidRPr="005A25CE">
        <w:rPr>
          <w:rFonts w:asciiTheme="minorHAnsi" w:hAnsiTheme="minorHAnsi"/>
          <w:sz w:val="20"/>
          <w:szCs w:val="20"/>
        </w:rPr>
        <w:t xml:space="preserve"> či</w:t>
      </w:r>
      <w:r w:rsidRPr="005A25CE">
        <w:rPr>
          <w:rFonts w:asciiTheme="minorHAnsi" w:hAnsiTheme="minorHAnsi"/>
          <w:sz w:val="20"/>
          <w:szCs w:val="20"/>
        </w:rPr>
        <w:t xml:space="preserve"> DPP.</w:t>
      </w:r>
    </w:p>
    <w:p w:rsidR="007E5643" w:rsidRPr="005A25CE" w:rsidRDefault="007E5643" w:rsidP="007E5643">
      <w:pPr>
        <w:numPr>
          <w:ilvl w:val="0"/>
          <w:numId w:val="2"/>
        </w:numPr>
        <w:spacing w:before="60"/>
        <w:jc w:val="both"/>
        <w:rPr>
          <w:rFonts w:asciiTheme="minorHAnsi" w:hAnsiTheme="minorHAnsi"/>
          <w:sz w:val="20"/>
          <w:szCs w:val="20"/>
        </w:rPr>
      </w:pPr>
      <w:r w:rsidRPr="005A25CE">
        <w:rPr>
          <w:rFonts w:asciiTheme="minorHAnsi" w:hAnsiTheme="minorHAnsi"/>
          <w:sz w:val="20"/>
          <w:szCs w:val="20"/>
        </w:rPr>
        <w:t>Sjednané pojištění je pojištěním škodovým.</w:t>
      </w:r>
    </w:p>
    <w:p w:rsidR="00E87DF6" w:rsidRPr="005A25CE" w:rsidRDefault="00E87DF6" w:rsidP="00E87DF6">
      <w:pPr>
        <w:numPr>
          <w:ilvl w:val="0"/>
          <w:numId w:val="2"/>
        </w:numPr>
        <w:spacing w:before="60"/>
        <w:jc w:val="both"/>
        <w:rPr>
          <w:rFonts w:asciiTheme="minorHAnsi" w:hAnsiTheme="minorHAnsi"/>
          <w:sz w:val="20"/>
          <w:szCs w:val="20"/>
        </w:rPr>
      </w:pPr>
      <w:r w:rsidRPr="005A25CE">
        <w:rPr>
          <w:rFonts w:asciiTheme="minorHAnsi" w:hAnsiTheme="minorHAnsi"/>
          <w:sz w:val="20"/>
          <w:szCs w:val="20"/>
        </w:rPr>
        <w:t>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rsidR="00E87DF6" w:rsidRPr="005A25CE" w:rsidRDefault="00E87DF6" w:rsidP="00E87DF6">
      <w:pPr>
        <w:spacing w:before="60"/>
        <w:ind w:left="360"/>
        <w:jc w:val="both"/>
        <w:rPr>
          <w:rFonts w:asciiTheme="minorHAnsi" w:hAnsiTheme="minorHAnsi"/>
          <w:sz w:val="20"/>
          <w:szCs w:val="20"/>
        </w:rPr>
      </w:pPr>
      <w:r w:rsidRPr="005A25CE">
        <w:rPr>
          <w:rFonts w:asciiTheme="minorHAnsi" w:hAnsiTheme="minorHAnsi"/>
          <w:sz w:val="20"/>
          <w:szCs w:val="20"/>
        </w:rPr>
        <w:t>Smluvní strany se dále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7E5643" w:rsidRPr="005A25CE" w:rsidRDefault="007E5643" w:rsidP="007E5643">
      <w:pPr>
        <w:numPr>
          <w:ilvl w:val="0"/>
          <w:numId w:val="2"/>
        </w:numPr>
        <w:tabs>
          <w:tab w:val="num" w:pos="-1800"/>
        </w:tabs>
        <w:spacing w:before="60"/>
        <w:jc w:val="both"/>
        <w:rPr>
          <w:rFonts w:asciiTheme="minorHAnsi" w:hAnsiTheme="minorHAnsi"/>
          <w:b/>
          <w:iCs/>
          <w:sz w:val="20"/>
          <w:szCs w:val="20"/>
        </w:rPr>
      </w:pPr>
      <w:r w:rsidRPr="005A25CE">
        <w:rPr>
          <w:rFonts w:asciiTheme="minorHAnsi" w:hAnsiTheme="minorHAnsi"/>
          <w:b/>
          <w:iCs/>
          <w:sz w:val="20"/>
          <w:szCs w:val="20"/>
        </w:rPr>
        <w:t>Tato pojistná smlouva nahrazuje pojistnou smlouvu č. ....................., která zaniká dnem předcházejícím dni nabytí účinnosti této pojistné smlouvy (počátku pojištění). Případné nespotřebované pojistné z nahrazované pojistné smlouvy bude převedeno na pojistnou smlouvu č...</w:t>
      </w:r>
      <w:r w:rsidR="00D8585B" w:rsidRPr="005A25CE">
        <w:rPr>
          <w:rFonts w:asciiTheme="minorHAnsi" w:hAnsiTheme="minorHAnsi"/>
          <w:b/>
          <w:iCs/>
          <w:sz w:val="20"/>
          <w:szCs w:val="20"/>
        </w:rPr>
        <w:t>...........</w:t>
      </w:r>
    </w:p>
    <w:p w:rsidR="00C337D7" w:rsidRPr="005A25CE" w:rsidRDefault="00C337D7" w:rsidP="005C27A7">
      <w:pPr>
        <w:spacing w:before="360"/>
        <w:jc w:val="center"/>
        <w:rPr>
          <w:rFonts w:asciiTheme="minorHAnsi" w:hAnsiTheme="minorHAnsi"/>
          <w:b/>
          <w:sz w:val="20"/>
          <w:szCs w:val="20"/>
        </w:rPr>
      </w:pPr>
      <w:r w:rsidRPr="005A25CE">
        <w:rPr>
          <w:rFonts w:asciiTheme="minorHAnsi" w:hAnsiTheme="minorHAnsi"/>
          <w:b/>
          <w:sz w:val="20"/>
          <w:szCs w:val="20"/>
        </w:rPr>
        <w:t>Článek II.</w:t>
      </w:r>
    </w:p>
    <w:p w:rsidR="00AF60E1" w:rsidRPr="005A25CE" w:rsidRDefault="00AF60E1" w:rsidP="00AF60E1">
      <w:pPr>
        <w:jc w:val="center"/>
        <w:rPr>
          <w:rFonts w:asciiTheme="minorHAnsi" w:hAnsiTheme="minorHAnsi"/>
          <w:b/>
          <w:sz w:val="20"/>
          <w:u w:val="single"/>
        </w:rPr>
      </w:pPr>
      <w:r w:rsidRPr="005A25CE">
        <w:rPr>
          <w:rFonts w:asciiTheme="minorHAnsi" w:hAnsiTheme="minorHAnsi"/>
          <w:b/>
          <w:sz w:val="20"/>
          <w:u w:val="single"/>
        </w:rPr>
        <w:t>Pojistná nebezpečí, předměty pojištění, limity plnění a spoluúčasti</w:t>
      </w:r>
    </w:p>
    <w:p w:rsidR="007E5643" w:rsidRPr="005A25CE" w:rsidRDefault="007E5643" w:rsidP="004E3E78">
      <w:pPr>
        <w:pStyle w:val="Nadpis1"/>
        <w:numPr>
          <w:ilvl w:val="0"/>
          <w:numId w:val="15"/>
        </w:numPr>
        <w:spacing w:before="240"/>
        <w:ind w:left="284" w:hanging="284"/>
        <w:jc w:val="both"/>
        <w:rPr>
          <w:rFonts w:asciiTheme="minorHAnsi" w:hAnsiTheme="minorHAnsi"/>
        </w:rPr>
      </w:pPr>
      <w:r w:rsidRPr="005A25CE">
        <w:rPr>
          <w:rFonts w:asciiTheme="minorHAnsi" w:hAnsiTheme="minorHAnsi"/>
        </w:rPr>
        <w:t>Hromadné Pojištění odpovědnosti zaměstnance při výkonu povolání</w:t>
      </w:r>
    </w:p>
    <w:p w:rsidR="007E5643" w:rsidRPr="005A25CE" w:rsidRDefault="007E5643" w:rsidP="007E5643">
      <w:pPr>
        <w:spacing w:before="60"/>
        <w:jc w:val="both"/>
        <w:rPr>
          <w:rFonts w:asciiTheme="minorHAnsi" w:hAnsiTheme="minorHAnsi"/>
          <w:iCs/>
          <w:sz w:val="20"/>
          <w:szCs w:val="20"/>
        </w:rPr>
      </w:pPr>
      <w:r w:rsidRPr="005A25CE">
        <w:rPr>
          <w:rFonts w:asciiTheme="minorHAnsi" w:hAnsiTheme="minorHAnsi"/>
          <w:iCs/>
          <w:sz w:val="20"/>
          <w:szCs w:val="20"/>
        </w:rPr>
        <w:t>Sjednává se pojištění odpovědnosti za újmu způsobenou zaměstnancem zaměstnavateli při výkonu povolání.</w:t>
      </w:r>
    </w:p>
    <w:p w:rsidR="00767C92" w:rsidRPr="005A25CE" w:rsidRDefault="00767C92" w:rsidP="00767C92">
      <w:pPr>
        <w:tabs>
          <w:tab w:val="left" w:pos="1276"/>
        </w:tabs>
        <w:spacing w:before="120"/>
        <w:jc w:val="both"/>
        <w:rPr>
          <w:rFonts w:asciiTheme="minorHAnsi" w:hAnsiTheme="minorHAnsi"/>
          <w:sz w:val="20"/>
          <w:szCs w:val="22"/>
        </w:rPr>
      </w:pPr>
      <w:r w:rsidRPr="005A25CE">
        <w:rPr>
          <w:rFonts w:asciiTheme="minorHAnsi" w:hAnsiTheme="minorHAnsi"/>
          <w:b/>
          <w:sz w:val="20"/>
          <w:szCs w:val="22"/>
        </w:rPr>
        <w:t>Pojištění se řídí:</w:t>
      </w:r>
      <w:r w:rsidRPr="005A25CE">
        <w:rPr>
          <w:rFonts w:asciiTheme="minorHAnsi" w:hAnsiTheme="minorHAnsi"/>
          <w:sz w:val="20"/>
          <w:szCs w:val="22"/>
        </w:rPr>
        <w:tab/>
        <w:t>VPP pro pojištění odpovědnosti VPPOD 1/</w:t>
      </w:r>
      <w:r w:rsidR="00116F04" w:rsidRPr="005A25CE">
        <w:rPr>
          <w:rFonts w:asciiTheme="minorHAnsi" w:hAnsiTheme="minorHAnsi"/>
          <w:sz w:val="20"/>
          <w:szCs w:val="22"/>
        </w:rPr>
        <w:t xml:space="preserve">16 </w:t>
      </w:r>
      <w:r w:rsidRPr="005A25CE">
        <w:rPr>
          <w:rFonts w:asciiTheme="minorHAnsi" w:hAnsiTheme="minorHAnsi"/>
          <w:sz w:val="20"/>
          <w:szCs w:val="22"/>
        </w:rPr>
        <w:t>(dále jen VPPOD 1/</w:t>
      </w:r>
      <w:r w:rsidR="00116F04" w:rsidRPr="005A25CE">
        <w:rPr>
          <w:rFonts w:asciiTheme="minorHAnsi" w:hAnsiTheme="minorHAnsi"/>
          <w:sz w:val="20"/>
          <w:szCs w:val="22"/>
        </w:rPr>
        <w:t>16</w:t>
      </w:r>
      <w:r w:rsidRPr="005A25CE">
        <w:rPr>
          <w:rFonts w:asciiTheme="minorHAnsi" w:hAnsiTheme="minorHAnsi"/>
          <w:sz w:val="20"/>
          <w:szCs w:val="22"/>
        </w:rPr>
        <w:t>)</w:t>
      </w:r>
    </w:p>
    <w:p w:rsidR="00767C92" w:rsidRPr="005A25CE" w:rsidRDefault="00767C92" w:rsidP="00767C92">
      <w:pPr>
        <w:tabs>
          <w:tab w:val="left" w:pos="1418"/>
        </w:tabs>
        <w:ind w:left="1418" w:hanging="142"/>
        <w:jc w:val="both"/>
        <w:rPr>
          <w:rFonts w:asciiTheme="minorHAnsi" w:hAnsiTheme="minorHAnsi"/>
          <w:sz w:val="20"/>
        </w:rPr>
      </w:pPr>
      <w:r w:rsidRPr="005A25CE">
        <w:rPr>
          <w:rFonts w:asciiTheme="minorHAnsi" w:hAnsiTheme="minorHAnsi"/>
          <w:sz w:val="20"/>
        </w:rPr>
        <w:tab/>
        <w:t>DPP pro hromadné pojištění odpovědnosti zaměstnance při výkonu povolání  DPPHZAM P 1/1</w:t>
      </w:r>
      <w:r w:rsidR="009F1BC9" w:rsidRPr="005A25CE">
        <w:rPr>
          <w:rFonts w:asciiTheme="minorHAnsi" w:hAnsiTheme="minorHAnsi"/>
          <w:sz w:val="20"/>
        </w:rPr>
        <w:t>6</w:t>
      </w:r>
      <w:r w:rsidRPr="005A25CE">
        <w:rPr>
          <w:rFonts w:asciiTheme="minorHAnsi" w:hAnsiTheme="minorHAnsi"/>
          <w:sz w:val="20"/>
        </w:rPr>
        <w:t xml:space="preserve"> (dále jen DPPHZAM P 1/</w:t>
      </w:r>
      <w:r w:rsidR="00116F04" w:rsidRPr="005A25CE">
        <w:rPr>
          <w:rFonts w:asciiTheme="minorHAnsi" w:hAnsiTheme="minorHAnsi"/>
          <w:sz w:val="20"/>
        </w:rPr>
        <w:t>16</w:t>
      </w:r>
      <w:r w:rsidRPr="005A25CE">
        <w:rPr>
          <w:rFonts w:asciiTheme="minorHAnsi" w:hAnsiTheme="minorHAnsi"/>
          <w:sz w:val="20"/>
        </w:rPr>
        <w:t>)</w:t>
      </w:r>
    </w:p>
    <w:p w:rsidR="00882DE0" w:rsidRPr="005A25CE" w:rsidRDefault="00882DE0" w:rsidP="00142020">
      <w:pPr>
        <w:spacing w:before="120"/>
        <w:jc w:val="both"/>
        <w:rPr>
          <w:rFonts w:asciiTheme="minorHAnsi" w:hAnsiTheme="minorHAnsi"/>
          <w:iCs/>
          <w:sz w:val="20"/>
          <w:szCs w:val="20"/>
        </w:rPr>
      </w:pPr>
      <w:r w:rsidRPr="005A25CE">
        <w:rPr>
          <w:rFonts w:asciiTheme="minorHAnsi" w:hAnsiTheme="minorHAnsi"/>
          <w:iCs/>
          <w:sz w:val="20"/>
          <w:szCs w:val="20"/>
        </w:rPr>
        <w:t xml:space="preserve">Pojištění se sjednává pro </w:t>
      </w:r>
      <w:r w:rsidR="00116F04" w:rsidRPr="005A25CE">
        <w:rPr>
          <w:rFonts w:asciiTheme="minorHAnsi" w:hAnsiTheme="minorHAnsi"/>
          <w:iCs/>
          <w:sz w:val="20"/>
          <w:szCs w:val="20"/>
        </w:rPr>
        <w:t xml:space="preserve">osoby </w:t>
      </w:r>
      <w:r w:rsidR="007E5643" w:rsidRPr="005A25CE">
        <w:rPr>
          <w:rFonts w:asciiTheme="minorHAnsi" w:hAnsiTheme="minorHAnsi"/>
          <w:iCs/>
          <w:sz w:val="20"/>
          <w:szCs w:val="20"/>
        </w:rPr>
        <w:t>uveden</w:t>
      </w:r>
      <w:r w:rsidRPr="005A25CE">
        <w:rPr>
          <w:rFonts w:asciiTheme="minorHAnsi" w:hAnsiTheme="minorHAnsi"/>
          <w:iCs/>
          <w:sz w:val="20"/>
          <w:szCs w:val="20"/>
        </w:rPr>
        <w:t>é</w:t>
      </w:r>
      <w:r w:rsidR="007E5643" w:rsidRPr="005A25CE">
        <w:rPr>
          <w:rFonts w:asciiTheme="minorHAnsi" w:hAnsiTheme="minorHAnsi"/>
          <w:iCs/>
          <w:sz w:val="20"/>
          <w:szCs w:val="20"/>
        </w:rPr>
        <w:t xml:space="preserve"> v</w:t>
      </w:r>
      <w:r w:rsidR="00116F04" w:rsidRPr="005A25CE">
        <w:rPr>
          <w:rFonts w:asciiTheme="minorHAnsi" w:hAnsiTheme="minorHAnsi"/>
          <w:iCs/>
          <w:sz w:val="20"/>
          <w:szCs w:val="20"/>
        </w:rPr>
        <w:t xml:space="preserve"> seznamu, který tvoří přílohu č. </w:t>
      </w:r>
      <w:r w:rsidR="00F367B0" w:rsidRPr="005A25CE">
        <w:rPr>
          <w:rFonts w:asciiTheme="minorHAnsi" w:hAnsiTheme="minorHAnsi"/>
          <w:iCs/>
          <w:sz w:val="20"/>
          <w:szCs w:val="20"/>
        </w:rPr>
        <w:t>1</w:t>
      </w:r>
      <w:r w:rsidR="007E5643" w:rsidRPr="005A25CE">
        <w:rPr>
          <w:rFonts w:asciiTheme="minorHAnsi" w:hAnsiTheme="minorHAnsi"/>
          <w:iCs/>
          <w:sz w:val="20"/>
          <w:szCs w:val="20"/>
        </w:rPr>
        <w:t xml:space="preserve"> této pojistné smlouvy</w:t>
      </w:r>
      <w:r w:rsidR="00116F04" w:rsidRPr="005A25CE">
        <w:rPr>
          <w:rFonts w:asciiTheme="minorHAnsi" w:hAnsiTheme="minorHAnsi"/>
          <w:iCs/>
          <w:sz w:val="20"/>
          <w:szCs w:val="20"/>
        </w:rPr>
        <w:t xml:space="preserve"> dále jen „seznam“</w:t>
      </w:r>
      <w:r w:rsidR="006337C2" w:rsidRPr="005A25CE">
        <w:rPr>
          <w:rFonts w:asciiTheme="minorHAnsi" w:hAnsiTheme="minorHAnsi"/>
          <w:iCs/>
          <w:sz w:val="20"/>
          <w:szCs w:val="20"/>
        </w:rPr>
        <w:t xml:space="preserve"> a dále v rozsahu a za podmínek uvedených na příloze č. 2 této pojistné smlouvy.</w:t>
      </w:r>
    </w:p>
    <w:p w:rsidR="00142020" w:rsidRPr="005A25CE" w:rsidRDefault="00142020" w:rsidP="00142020">
      <w:pPr>
        <w:pStyle w:val="Odstavecseseznamem"/>
        <w:ind w:left="0"/>
        <w:jc w:val="both"/>
        <w:rPr>
          <w:rFonts w:asciiTheme="minorHAnsi" w:hAnsiTheme="minorHAnsi"/>
          <w:iCs/>
          <w:sz w:val="20"/>
          <w:szCs w:val="20"/>
        </w:rPr>
      </w:pPr>
      <w:r w:rsidRPr="005A25CE">
        <w:rPr>
          <w:rFonts w:asciiTheme="minorHAnsi" w:hAnsiTheme="minorHAnsi"/>
          <w:iCs/>
          <w:sz w:val="20"/>
          <w:szCs w:val="20"/>
        </w:rPr>
        <w:t>Seznam pojištěných osob obsahuje mimo identifikační údaje pojištěných</w:t>
      </w:r>
      <w:r w:rsidR="00B04D46" w:rsidRPr="005A25CE">
        <w:rPr>
          <w:rFonts w:asciiTheme="minorHAnsi" w:hAnsiTheme="minorHAnsi"/>
          <w:iCs/>
          <w:sz w:val="20"/>
          <w:szCs w:val="20"/>
        </w:rPr>
        <w:t xml:space="preserve"> osob také název </w:t>
      </w:r>
      <w:r w:rsidR="00A06228" w:rsidRPr="005A25CE">
        <w:rPr>
          <w:rFonts w:asciiTheme="minorHAnsi" w:hAnsiTheme="minorHAnsi"/>
          <w:iCs/>
          <w:sz w:val="20"/>
          <w:szCs w:val="20"/>
        </w:rPr>
        <w:t>ZO OS</w:t>
      </w:r>
      <w:r w:rsidR="00BA0365" w:rsidRPr="005A25CE">
        <w:rPr>
          <w:rFonts w:asciiTheme="minorHAnsi" w:hAnsiTheme="minorHAnsi"/>
          <w:iCs/>
          <w:sz w:val="20"/>
          <w:szCs w:val="20"/>
        </w:rPr>
        <w:t xml:space="preserve">, </w:t>
      </w:r>
      <w:r w:rsidRPr="005A25CE">
        <w:rPr>
          <w:rFonts w:asciiTheme="minorHAnsi" w:hAnsiTheme="minorHAnsi"/>
          <w:iCs/>
          <w:sz w:val="20"/>
          <w:szCs w:val="20"/>
        </w:rPr>
        <w:t>které jsou členy, příjmení, jméno, bydliště uvedené v občanském průkaze, rodné číslo, kategorie, roční limit plnění, výše pojis</w:t>
      </w:r>
      <w:r w:rsidR="0092624E" w:rsidRPr="005A25CE">
        <w:rPr>
          <w:rFonts w:asciiTheme="minorHAnsi" w:hAnsiTheme="minorHAnsi"/>
          <w:iCs/>
          <w:sz w:val="20"/>
          <w:szCs w:val="20"/>
        </w:rPr>
        <w:t>tného.</w:t>
      </w:r>
    </w:p>
    <w:p w:rsidR="00E74678" w:rsidRPr="005A25CE" w:rsidRDefault="00E74678" w:rsidP="005A10F8">
      <w:pPr>
        <w:pStyle w:val="Nadpis1"/>
        <w:numPr>
          <w:ilvl w:val="1"/>
          <w:numId w:val="16"/>
        </w:numPr>
        <w:spacing w:before="240"/>
        <w:ind w:left="567" w:hanging="567"/>
        <w:jc w:val="both"/>
        <w:rPr>
          <w:rFonts w:asciiTheme="minorHAnsi" w:hAnsiTheme="minorHAnsi"/>
          <w:b w:val="0"/>
          <w:caps w:val="0"/>
          <w:u w:val="none"/>
        </w:rPr>
      </w:pPr>
      <w:r w:rsidRPr="005A25CE">
        <w:rPr>
          <w:rFonts w:asciiTheme="minorHAnsi" w:hAnsiTheme="minorHAnsi"/>
          <w:b w:val="0"/>
          <w:caps w:val="0"/>
          <w:u w:val="none"/>
        </w:rPr>
        <w:t>Pojištění se sjednává v rozsahu článku 2 DPP</w:t>
      </w:r>
      <w:r w:rsidR="008729DB" w:rsidRPr="005A25CE">
        <w:rPr>
          <w:rFonts w:asciiTheme="minorHAnsi" w:hAnsiTheme="minorHAnsi"/>
          <w:b w:val="0"/>
          <w:caps w:val="0"/>
          <w:u w:val="none"/>
        </w:rPr>
        <w:t>HZAM P 1/</w:t>
      </w:r>
      <w:r w:rsidR="00DC660B" w:rsidRPr="005A25CE">
        <w:rPr>
          <w:rFonts w:asciiTheme="minorHAnsi" w:hAnsiTheme="minorHAnsi"/>
          <w:b w:val="0"/>
          <w:caps w:val="0"/>
          <w:u w:val="none"/>
        </w:rPr>
        <w:t>16</w:t>
      </w:r>
      <w:r w:rsidRPr="005A25CE">
        <w:rPr>
          <w:rFonts w:asciiTheme="minorHAnsi" w:hAnsiTheme="minorHAnsi"/>
          <w:b w:val="0"/>
          <w:caps w:val="0"/>
          <w:u w:val="none"/>
        </w:rPr>
        <w:t>.</w:t>
      </w:r>
      <w:r w:rsidR="00D8585B" w:rsidRPr="005A25CE">
        <w:rPr>
          <w:rFonts w:asciiTheme="minorHAnsi" w:hAnsiTheme="minorHAnsi"/>
          <w:b w:val="0"/>
          <w:caps w:val="0"/>
          <w:u w:val="none"/>
        </w:rPr>
        <w:t xml:space="preserve"> </w:t>
      </w:r>
    </w:p>
    <w:p w:rsidR="00CE2412" w:rsidRPr="005A25CE" w:rsidRDefault="00CE2412" w:rsidP="00CE2412"/>
    <w:p w:rsidR="00077BBB" w:rsidRPr="005A25CE" w:rsidRDefault="00077BBB" w:rsidP="00077BBB">
      <w:pPr>
        <w:ind w:left="567"/>
        <w:rPr>
          <w:rFonts w:asciiTheme="minorHAnsi" w:hAnsiTheme="minorHAnsi"/>
          <w:sz w:val="20"/>
          <w:szCs w:val="20"/>
        </w:rPr>
      </w:pPr>
      <w:r w:rsidRPr="005A25CE">
        <w:rPr>
          <w:rFonts w:asciiTheme="minorHAnsi" w:hAnsiTheme="minorHAnsi"/>
          <w:sz w:val="20"/>
          <w:szCs w:val="20"/>
        </w:rPr>
        <w:t xml:space="preserve">Pro pojištěné osoby, u kterých je to uvedeno v </w:t>
      </w:r>
      <w:r w:rsidR="00CE2412" w:rsidRPr="005A25CE">
        <w:rPr>
          <w:rFonts w:asciiTheme="minorHAnsi" w:hAnsiTheme="minorHAnsi"/>
          <w:sz w:val="20"/>
          <w:szCs w:val="20"/>
        </w:rPr>
        <w:t>„</w:t>
      </w:r>
      <w:r w:rsidRPr="005A25CE">
        <w:rPr>
          <w:rFonts w:asciiTheme="minorHAnsi" w:hAnsiTheme="minorHAnsi"/>
          <w:sz w:val="20"/>
          <w:szCs w:val="20"/>
        </w:rPr>
        <w:t>seznamu</w:t>
      </w:r>
      <w:r w:rsidR="00CE2412" w:rsidRPr="005A25CE">
        <w:rPr>
          <w:rFonts w:asciiTheme="minorHAnsi" w:hAnsiTheme="minorHAnsi"/>
          <w:sz w:val="20"/>
          <w:szCs w:val="20"/>
        </w:rPr>
        <w:t xml:space="preserve">“ se pojištění dále rozšiřuje o újmu způsobenou: </w:t>
      </w:r>
    </w:p>
    <w:p w:rsidR="00BC5BD1" w:rsidRPr="005A25CE" w:rsidRDefault="00DC660B" w:rsidP="00BC5BD1">
      <w:pPr>
        <w:pStyle w:val="Odstavecseseznamem"/>
        <w:numPr>
          <w:ilvl w:val="0"/>
          <w:numId w:val="30"/>
        </w:numPr>
        <w:spacing w:before="120"/>
        <w:jc w:val="both"/>
        <w:rPr>
          <w:rFonts w:asciiTheme="minorHAnsi" w:hAnsiTheme="minorHAnsi"/>
          <w:sz w:val="20"/>
          <w:szCs w:val="20"/>
        </w:rPr>
      </w:pPr>
      <w:r w:rsidRPr="005A25CE">
        <w:rPr>
          <w:rFonts w:asciiTheme="minorHAnsi" w:hAnsiTheme="minorHAnsi"/>
          <w:sz w:val="20"/>
          <w:szCs w:val="20"/>
        </w:rPr>
        <w:lastRenderedPageBreak/>
        <w:t>v souvislosti s užíváním vozidla pojištěným, který vedle svého hlavního povolání řídí vozidlo</w:t>
      </w:r>
      <w:r w:rsidR="00BC5BD1" w:rsidRPr="005A25CE">
        <w:rPr>
          <w:rFonts w:asciiTheme="minorHAnsi" w:hAnsiTheme="minorHAnsi"/>
          <w:sz w:val="20"/>
          <w:szCs w:val="20"/>
        </w:rPr>
        <w:t xml:space="preserve"> (řidič referent) a anebo který jako své hlavní povolání vykonává činnost řidiče (profesionální řidič), včetně škod z užívání ostatních dopravních prostředků.</w:t>
      </w:r>
    </w:p>
    <w:p w:rsidR="005A10F8" w:rsidRPr="005A25CE" w:rsidRDefault="000A138E" w:rsidP="000A138E">
      <w:pPr>
        <w:spacing w:before="120"/>
        <w:ind w:left="567"/>
        <w:jc w:val="both"/>
        <w:rPr>
          <w:rFonts w:asciiTheme="minorHAnsi" w:hAnsiTheme="minorHAnsi"/>
          <w:sz w:val="20"/>
          <w:szCs w:val="20"/>
        </w:rPr>
      </w:pPr>
      <w:r w:rsidRPr="005A25CE">
        <w:rPr>
          <w:rFonts w:asciiTheme="minorHAnsi" w:hAnsiTheme="minorHAnsi"/>
          <w:b/>
          <w:sz w:val="20"/>
          <w:szCs w:val="20"/>
        </w:rPr>
        <w:t xml:space="preserve">Pojištění se nevztahuje na </w:t>
      </w:r>
      <w:r w:rsidR="00767C92" w:rsidRPr="005A25CE">
        <w:rPr>
          <w:rFonts w:asciiTheme="minorHAnsi" w:hAnsiTheme="minorHAnsi"/>
          <w:sz w:val="20"/>
          <w:szCs w:val="20"/>
        </w:rPr>
        <w:t>škod</w:t>
      </w:r>
      <w:r w:rsidRPr="005A25CE">
        <w:rPr>
          <w:rFonts w:asciiTheme="minorHAnsi" w:hAnsiTheme="minorHAnsi"/>
          <w:sz w:val="20"/>
          <w:szCs w:val="20"/>
        </w:rPr>
        <w:t>y</w:t>
      </w:r>
      <w:r w:rsidR="005A10F8" w:rsidRPr="005A25CE">
        <w:rPr>
          <w:rFonts w:asciiTheme="minorHAnsi" w:hAnsiTheme="minorHAnsi"/>
          <w:sz w:val="20"/>
          <w:szCs w:val="20"/>
        </w:rPr>
        <w:t xml:space="preserve"> </w:t>
      </w:r>
      <w:r w:rsidRPr="005A25CE">
        <w:rPr>
          <w:rFonts w:asciiTheme="minorHAnsi" w:hAnsiTheme="minorHAnsi"/>
          <w:sz w:val="20"/>
          <w:szCs w:val="20"/>
        </w:rPr>
        <w:t xml:space="preserve">vzniklé v souvislosti s řízením dopravního </w:t>
      </w:r>
      <w:r w:rsidR="005A10F8" w:rsidRPr="005A25CE">
        <w:rPr>
          <w:rFonts w:asciiTheme="minorHAnsi" w:hAnsiTheme="minorHAnsi"/>
          <w:sz w:val="20"/>
          <w:szCs w:val="20"/>
        </w:rPr>
        <w:t xml:space="preserve">prostředku, </w:t>
      </w:r>
      <w:r w:rsidR="00767C92" w:rsidRPr="005A25CE">
        <w:rPr>
          <w:rFonts w:asciiTheme="minorHAnsi" w:hAnsiTheme="minorHAnsi"/>
          <w:sz w:val="20"/>
          <w:szCs w:val="20"/>
        </w:rPr>
        <w:t xml:space="preserve">ke </w:t>
      </w:r>
      <w:r w:rsidR="005A10F8" w:rsidRPr="005A25CE">
        <w:rPr>
          <w:rFonts w:asciiTheme="minorHAnsi" w:hAnsiTheme="minorHAnsi"/>
          <w:sz w:val="20"/>
          <w:szCs w:val="20"/>
        </w:rPr>
        <w:t>který</w:t>
      </w:r>
      <w:r w:rsidR="00767C92" w:rsidRPr="005A25CE">
        <w:rPr>
          <w:rFonts w:asciiTheme="minorHAnsi" w:hAnsiTheme="minorHAnsi"/>
          <w:sz w:val="20"/>
          <w:szCs w:val="20"/>
        </w:rPr>
        <w:t>m došlo během soukromé jízdy.</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5A25CE" w:rsidRPr="005A25CE" w:rsidTr="00D8585B">
        <w:tc>
          <w:tcPr>
            <w:tcW w:w="9402" w:type="dxa"/>
          </w:tcPr>
          <w:p w:rsidR="00D8585B" w:rsidRPr="005A25CE" w:rsidRDefault="005914BD" w:rsidP="00F367B0">
            <w:pPr>
              <w:spacing w:before="120"/>
              <w:jc w:val="both"/>
              <w:rPr>
                <w:rFonts w:asciiTheme="minorHAnsi" w:hAnsiTheme="minorHAnsi"/>
                <w:sz w:val="20"/>
                <w:szCs w:val="20"/>
              </w:rPr>
            </w:pPr>
            <w:r w:rsidRPr="005A25CE">
              <w:rPr>
                <w:rFonts w:asciiTheme="minorHAnsi" w:hAnsiTheme="minorHAnsi"/>
                <w:sz w:val="20"/>
                <w:szCs w:val="20"/>
              </w:rPr>
              <w:t xml:space="preserve">Limit plnění je pro každého pojištěného uveden v „seznamu“, pojistné plnění však nesmí přesáhnout částku stanovenou příslušným právním předpisem (např. 4,5 násobek průměrného měsíčního výdělku pojištěného zaměstnance dle příslušného ustanovení zákoníku práce ap.). </w:t>
            </w:r>
          </w:p>
          <w:p w:rsidR="005914BD" w:rsidRPr="005A25CE" w:rsidRDefault="00D8585B" w:rsidP="00FE1752">
            <w:pPr>
              <w:pStyle w:val="Odstavecseseznamem"/>
              <w:ind w:left="0"/>
              <w:jc w:val="both"/>
              <w:rPr>
                <w:rFonts w:asciiTheme="minorHAnsi" w:hAnsiTheme="minorHAnsi"/>
                <w:sz w:val="20"/>
                <w:szCs w:val="20"/>
              </w:rPr>
            </w:pPr>
            <w:r w:rsidRPr="005A25CE">
              <w:rPr>
                <w:rFonts w:asciiTheme="minorHAnsi" w:hAnsiTheme="minorHAnsi"/>
                <w:sz w:val="20"/>
                <w:szCs w:val="20"/>
              </w:rPr>
              <w:t>Z jedné a ze všech škodných událostí nesmí pojistné plnění za dobu 1 roku pojištění přesáhnout částku ročního limitu plnění uvedenou u jednotl</w:t>
            </w:r>
            <w:r w:rsidR="00FE1752" w:rsidRPr="005A25CE">
              <w:rPr>
                <w:rFonts w:asciiTheme="minorHAnsi" w:hAnsiTheme="minorHAnsi"/>
                <w:sz w:val="20"/>
                <w:szCs w:val="20"/>
              </w:rPr>
              <w:t>ivých zaměstnanců v „seznamu“, na příloze č. 1</w:t>
            </w:r>
            <w:r w:rsidRPr="005A25CE">
              <w:rPr>
                <w:rFonts w:asciiTheme="minorHAnsi" w:hAnsiTheme="minorHAnsi"/>
                <w:sz w:val="20"/>
                <w:szCs w:val="20"/>
              </w:rPr>
              <w:t xml:space="preserve"> této pojistné smlouvy.</w:t>
            </w:r>
          </w:p>
        </w:tc>
      </w:tr>
    </w:tbl>
    <w:p w:rsidR="00464875" w:rsidRPr="005A25CE" w:rsidRDefault="00464875" w:rsidP="00464875">
      <w:pPr>
        <w:spacing w:before="120"/>
        <w:ind w:firstLine="567"/>
        <w:jc w:val="both"/>
        <w:rPr>
          <w:rFonts w:asciiTheme="minorHAnsi" w:hAnsiTheme="minorHAnsi"/>
          <w:b/>
          <w:sz w:val="20"/>
          <w:szCs w:val="20"/>
        </w:rPr>
      </w:pPr>
      <w:r w:rsidRPr="005A25CE">
        <w:rPr>
          <w:rFonts w:asciiTheme="minorHAnsi" w:hAnsiTheme="minorHAnsi"/>
          <w:b/>
          <w:sz w:val="20"/>
          <w:szCs w:val="20"/>
        </w:rPr>
        <w:t>Pojištění se sjednává se spoluúčastí</w:t>
      </w:r>
      <w:r w:rsidRPr="005A25CE">
        <w:rPr>
          <w:rFonts w:asciiTheme="minorHAnsi" w:hAnsiTheme="minorHAnsi"/>
          <w:sz w:val="20"/>
          <w:szCs w:val="20"/>
        </w:rPr>
        <w:t xml:space="preserve"> </w:t>
      </w:r>
      <w:r w:rsidR="00D8585B" w:rsidRPr="005A25CE">
        <w:rPr>
          <w:rFonts w:asciiTheme="minorHAnsi" w:hAnsiTheme="minorHAnsi"/>
          <w:b/>
          <w:sz w:val="20"/>
          <w:szCs w:val="20"/>
        </w:rPr>
        <w:t>20%.</w:t>
      </w:r>
    </w:p>
    <w:p w:rsidR="009B210A" w:rsidRPr="005A25CE" w:rsidRDefault="009B210A" w:rsidP="00464875">
      <w:pPr>
        <w:spacing w:before="120"/>
        <w:ind w:firstLine="567"/>
        <w:jc w:val="both"/>
        <w:rPr>
          <w:rFonts w:asciiTheme="minorHAnsi" w:hAnsiTheme="minorHAnsi"/>
          <w:b/>
          <w:sz w:val="20"/>
          <w:szCs w:val="20"/>
        </w:rPr>
      </w:pPr>
    </w:p>
    <w:p w:rsidR="001A7941" w:rsidRPr="005A25CE" w:rsidRDefault="009B210A" w:rsidP="009B210A">
      <w:pPr>
        <w:spacing w:before="120"/>
        <w:ind w:left="3545" w:firstLine="709"/>
        <w:jc w:val="both"/>
        <w:rPr>
          <w:rFonts w:asciiTheme="minorHAnsi" w:hAnsiTheme="minorHAnsi"/>
          <w:b/>
          <w:sz w:val="20"/>
          <w:szCs w:val="20"/>
        </w:rPr>
      </w:pPr>
      <w:r w:rsidRPr="005A25CE">
        <w:rPr>
          <w:rFonts w:asciiTheme="minorHAnsi" w:hAnsiTheme="minorHAnsi"/>
          <w:b/>
          <w:sz w:val="20"/>
          <w:szCs w:val="20"/>
        </w:rPr>
        <w:t xml:space="preserve">   Článek III.</w:t>
      </w:r>
    </w:p>
    <w:p w:rsidR="00827E72" w:rsidRPr="005A25CE" w:rsidRDefault="00827E72" w:rsidP="00827E72">
      <w:pPr>
        <w:numPr>
          <w:ilvl w:val="12"/>
          <w:numId w:val="0"/>
        </w:numPr>
        <w:spacing w:after="240"/>
        <w:jc w:val="center"/>
        <w:rPr>
          <w:rFonts w:asciiTheme="minorHAnsi" w:hAnsiTheme="minorHAnsi"/>
          <w:b/>
          <w:sz w:val="20"/>
          <w:u w:val="single"/>
        </w:rPr>
      </w:pPr>
      <w:r w:rsidRPr="005A25CE">
        <w:rPr>
          <w:rFonts w:asciiTheme="minorHAnsi" w:hAnsiTheme="minorHAnsi"/>
          <w:b/>
          <w:sz w:val="20"/>
          <w:u w:val="single"/>
        </w:rPr>
        <w:t xml:space="preserve">Výklad pojmů, výluky z pojištění </w:t>
      </w:r>
    </w:p>
    <w:p w:rsidR="00827E72" w:rsidRPr="005A25CE" w:rsidRDefault="00827E72" w:rsidP="00827E72">
      <w:pPr>
        <w:numPr>
          <w:ilvl w:val="12"/>
          <w:numId w:val="0"/>
        </w:numPr>
        <w:spacing w:after="120"/>
        <w:rPr>
          <w:rFonts w:asciiTheme="minorHAnsi" w:hAnsiTheme="minorHAnsi"/>
          <w:sz w:val="20"/>
          <w:szCs w:val="20"/>
        </w:rPr>
      </w:pPr>
      <w:r w:rsidRPr="005A25CE">
        <w:rPr>
          <w:rFonts w:asciiTheme="minorHAnsi" w:hAnsiTheme="minorHAnsi"/>
          <w:b/>
          <w:sz w:val="20"/>
          <w:szCs w:val="20"/>
        </w:rPr>
        <w:t xml:space="preserve">Vedle pojmů, jejichž výklad je uveden ve VPP, </w:t>
      </w:r>
      <w:r w:rsidR="001C6D8C" w:rsidRPr="005A25CE">
        <w:rPr>
          <w:rFonts w:asciiTheme="minorHAnsi" w:hAnsiTheme="minorHAnsi"/>
          <w:b/>
          <w:sz w:val="20"/>
          <w:szCs w:val="20"/>
        </w:rPr>
        <w:t xml:space="preserve">DPP </w:t>
      </w:r>
      <w:r w:rsidRPr="005A25CE">
        <w:rPr>
          <w:rFonts w:asciiTheme="minorHAnsi" w:hAnsiTheme="minorHAnsi"/>
          <w:b/>
          <w:sz w:val="20"/>
          <w:szCs w:val="20"/>
        </w:rPr>
        <w:t>se pro účely pojistné smlouvy přijímá tento výklad dalších pojmů dotčených pojištěním podle této pojistné smlouvy:</w:t>
      </w:r>
    </w:p>
    <w:p w:rsidR="00827E72" w:rsidRPr="005A25CE" w:rsidRDefault="00827E72" w:rsidP="00827E72">
      <w:pPr>
        <w:numPr>
          <w:ilvl w:val="12"/>
          <w:numId w:val="0"/>
        </w:numPr>
        <w:jc w:val="both"/>
        <w:rPr>
          <w:rFonts w:asciiTheme="minorHAnsi" w:hAnsiTheme="minorHAnsi"/>
          <w:b/>
          <w:bCs/>
          <w:sz w:val="20"/>
          <w:szCs w:val="20"/>
        </w:rPr>
      </w:pPr>
      <w:r w:rsidRPr="005A25CE">
        <w:rPr>
          <w:rFonts w:asciiTheme="minorHAnsi" w:hAnsiTheme="minorHAnsi"/>
          <w:b/>
          <w:bCs/>
          <w:sz w:val="20"/>
          <w:szCs w:val="20"/>
        </w:rPr>
        <w:t>Ročním limitem plnění</w:t>
      </w:r>
      <w:r w:rsidRPr="005A25CE">
        <w:rPr>
          <w:rFonts w:asciiTheme="minorHAnsi" w:hAnsiTheme="minorHAnsi"/>
          <w:bCs/>
          <w:sz w:val="20"/>
          <w:szCs w:val="20"/>
        </w:rPr>
        <w:t xml:space="preserve"> se rozumí horní hranice pojistného plnění pojistitele pro jednu a všechny pojistné události nastalé v průběhu pojistného roku.</w:t>
      </w:r>
    </w:p>
    <w:p w:rsidR="00827E72" w:rsidRPr="005A25CE" w:rsidRDefault="00827E72" w:rsidP="00827E72">
      <w:pPr>
        <w:numPr>
          <w:ilvl w:val="12"/>
          <w:numId w:val="0"/>
        </w:numPr>
        <w:jc w:val="both"/>
        <w:rPr>
          <w:rFonts w:asciiTheme="minorHAnsi" w:hAnsiTheme="minorHAnsi" w:cstheme="minorHAnsi"/>
          <w:sz w:val="20"/>
          <w:szCs w:val="20"/>
        </w:rPr>
      </w:pPr>
      <w:r w:rsidRPr="005A25CE">
        <w:rPr>
          <w:rFonts w:asciiTheme="minorHAnsi" w:hAnsiTheme="minorHAnsi" w:cstheme="minorHAnsi"/>
          <w:b/>
          <w:sz w:val="20"/>
          <w:szCs w:val="20"/>
        </w:rPr>
        <w:t>Škodný průběh</w:t>
      </w:r>
      <w:r w:rsidRPr="005A25CE">
        <w:rPr>
          <w:rFonts w:asciiTheme="minorHAnsi" w:hAnsiTheme="minorHAnsi" w:cstheme="minorHAnsi"/>
          <w:sz w:val="20"/>
          <w:szCs w:val="20"/>
        </w:rPr>
        <w:t xml:space="preserve"> je poměr mezi vyplaceným pojistným plněním (vč. rezervy na škody vzniklé, nahlášené, ale v době poskytnutí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rsidR="00827E72" w:rsidRPr="005A25CE" w:rsidRDefault="00827E72" w:rsidP="00827E72">
      <w:pPr>
        <w:pStyle w:val="Zkladntext3"/>
        <w:tabs>
          <w:tab w:val="clear" w:pos="6237"/>
        </w:tabs>
        <w:rPr>
          <w:rFonts w:asciiTheme="minorHAnsi" w:hAnsiTheme="minorHAnsi"/>
          <w:bCs/>
        </w:rPr>
      </w:pPr>
      <w:r w:rsidRPr="005A25CE">
        <w:rPr>
          <w:rFonts w:asciiTheme="minorHAnsi" w:hAnsiTheme="minorHAnsi"/>
          <w:bCs/>
        </w:rPr>
        <w:t>Pojistným rokem</w:t>
      </w:r>
      <w:r w:rsidRPr="005A25CE">
        <w:rPr>
          <w:rFonts w:asciiTheme="minorHAnsi" w:hAnsiTheme="minorHAnsi"/>
          <w:b w:val="0"/>
          <w:bCs/>
        </w:rPr>
        <w:t xml:space="preserve"> </w:t>
      </w:r>
      <w:r w:rsidRPr="005A25CE">
        <w:rPr>
          <w:rFonts w:asciiTheme="minorHAnsi" w:hAnsiTheme="minorHAnsi"/>
          <w:b w:val="0"/>
        </w:rPr>
        <w:t>se rozumí</w:t>
      </w:r>
      <w:r w:rsidRPr="005A25CE">
        <w:rPr>
          <w:rFonts w:asciiTheme="minorHAnsi" w:hAnsiTheme="minorHAnsi"/>
        </w:rPr>
        <w:t xml:space="preserve"> </w:t>
      </w:r>
      <w:r w:rsidRPr="005A25CE">
        <w:rPr>
          <w:rFonts w:asciiTheme="minorHAnsi" w:hAnsiTheme="minorHAnsi"/>
          <w:b w:val="0"/>
        </w:rPr>
        <w:t>období jednoho kalendářního roku, který počíná běžet dnem počátku pojištění.</w:t>
      </w:r>
      <w:r w:rsidR="00ED194A" w:rsidRPr="005A25CE">
        <w:rPr>
          <w:rFonts w:asciiTheme="minorHAnsi" w:hAnsiTheme="minorHAnsi"/>
          <w:b w:val="0"/>
        </w:rPr>
        <w:t xml:space="preserve"> Není-li pojištění sjednáno na celý pojistný rok, vztahují se příslušná ujednání ke skutečné době pojištění.</w:t>
      </w:r>
    </w:p>
    <w:p w:rsidR="000A55D1" w:rsidRPr="005A25CE" w:rsidRDefault="00827E72" w:rsidP="000A55D1">
      <w:pPr>
        <w:numPr>
          <w:ilvl w:val="12"/>
          <w:numId w:val="0"/>
        </w:numPr>
        <w:jc w:val="both"/>
        <w:rPr>
          <w:rFonts w:asciiTheme="minorHAnsi" w:hAnsiTheme="minorHAnsi"/>
          <w:bCs/>
          <w:sz w:val="20"/>
          <w:szCs w:val="20"/>
        </w:rPr>
      </w:pPr>
      <w:r w:rsidRPr="005A25CE">
        <w:rPr>
          <w:rFonts w:asciiTheme="minorHAnsi" w:hAnsiTheme="minorHAnsi"/>
          <w:b/>
          <w:bCs/>
          <w:sz w:val="20"/>
          <w:szCs w:val="20"/>
        </w:rPr>
        <w:t>Sublimitem plnění</w:t>
      </w:r>
      <w:r w:rsidRPr="005A25CE">
        <w:rPr>
          <w:rFonts w:asciiTheme="minorHAnsi" w:hAnsiTheme="minorHAnsi"/>
          <w:bCs/>
          <w:sz w:val="20"/>
          <w:szCs w:val="20"/>
        </w:rPr>
        <w:t xml:space="preserve"> se rozumí horní hranice pojistného plnění pojistitele pro případy specifikované v pojistné smlouvě. Je uplatňován v rámci limitu plnění, ke kterému se vztahuje.</w:t>
      </w:r>
      <w:r w:rsidR="000A55D1" w:rsidRPr="005A25CE">
        <w:rPr>
          <w:rFonts w:asciiTheme="minorHAnsi" w:hAnsiTheme="minorHAnsi"/>
          <w:bCs/>
          <w:sz w:val="20"/>
          <w:szCs w:val="20"/>
        </w:rPr>
        <w:t xml:space="preserve"> Není-li v pojistné smlouvě výslovně uvedeno jinak, je sublimit plnění sjednán jako roční tzn. jako horní hranice plnění pojistitele pro jednu a všechny pojistné události nastalé v průběhu pojistného roku.</w:t>
      </w:r>
    </w:p>
    <w:p w:rsidR="00CC4295" w:rsidRPr="005A25CE" w:rsidRDefault="00CC4295" w:rsidP="00CC4295">
      <w:pPr>
        <w:numPr>
          <w:ilvl w:val="12"/>
          <w:numId w:val="0"/>
        </w:numPr>
        <w:spacing w:before="360"/>
        <w:jc w:val="center"/>
        <w:rPr>
          <w:rFonts w:asciiTheme="minorHAnsi" w:hAnsiTheme="minorHAnsi"/>
          <w:b/>
          <w:sz w:val="20"/>
        </w:rPr>
      </w:pPr>
      <w:r w:rsidRPr="005A25CE">
        <w:rPr>
          <w:rFonts w:asciiTheme="minorHAnsi" w:hAnsiTheme="minorHAnsi"/>
          <w:b/>
          <w:sz w:val="20"/>
        </w:rPr>
        <w:t>Článek IV.</w:t>
      </w:r>
    </w:p>
    <w:p w:rsidR="00CC4295" w:rsidRPr="005A25CE" w:rsidRDefault="00CC4295" w:rsidP="00CC4295">
      <w:pPr>
        <w:pStyle w:val="Nadpis9"/>
        <w:rPr>
          <w:rFonts w:asciiTheme="minorHAnsi" w:hAnsiTheme="minorHAnsi"/>
        </w:rPr>
      </w:pPr>
      <w:r w:rsidRPr="005A25CE">
        <w:rPr>
          <w:rFonts w:asciiTheme="minorHAnsi" w:hAnsiTheme="minorHAnsi"/>
        </w:rPr>
        <w:t>Hlášení škodných událostí</w:t>
      </w:r>
    </w:p>
    <w:p w:rsidR="00CC4295" w:rsidRPr="005A25CE" w:rsidRDefault="00CC4295" w:rsidP="00CC4295">
      <w:pPr>
        <w:numPr>
          <w:ilvl w:val="12"/>
          <w:numId w:val="0"/>
        </w:numPr>
        <w:tabs>
          <w:tab w:val="left" w:pos="-720"/>
        </w:tabs>
        <w:spacing w:before="120" w:after="120"/>
        <w:jc w:val="both"/>
        <w:rPr>
          <w:rFonts w:asciiTheme="minorHAnsi" w:hAnsiTheme="minorHAnsi"/>
          <w:sz w:val="20"/>
        </w:rPr>
      </w:pPr>
      <w:r w:rsidRPr="005A25CE">
        <w:rPr>
          <w:rFonts w:asciiTheme="minorHAnsi" w:hAnsiTheme="minorHAnsi"/>
          <w:sz w:val="20"/>
        </w:rPr>
        <w:t>Vznik škodné události nahlásí pojistník bez zbytečného odkladu na příslušném tiskopisu, dopisem nebo faxem na adresu:</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CC4295" w:rsidRPr="005A25CE" w:rsidTr="00C02791">
        <w:tc>
          <w:tcPr>
            <w:tcW w:w="4536" w:type="dxa"/>
          </w:tcPr>
          <w:p w:rsidR="001A7941" w:rsidRPr="005A25CE" w:rsidRDefault="001A7941" w:rsidP="001A794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SATUM CZECH s.r.o.</w:t>
            </w:r>
          </w:p>
          <w:p w:rsidR="001A7941" w:rsidRPr="005A25CE" w:rsidRDefault="001A7941" w:rsidP="001A794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Porážkova 424/20</w:t>
            </w:r>
          </w:p>
          <w:p w:rsidR="001A7941" w:rsidRPr="005A25CE" w:rsidRDefault="001A7941" w:rsidP="001A794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702 00 Ostrava, Moravská Ostrava</w:t>
            </w:r>
          </w:p>
          <w:p w:rsidR="00CC4295" w:rsidRPr="005A25CE" w:rsidRDefault="001A7941" w:rsidP="001A794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Tel.:595 132 318, fax: 596 111 496</w:t>
            </w:r>
          </w:p>
        </w:tc>
        <w:tc>
          <w:tcPr>
            <w:tcW w:w="708" w:type="dxa"/>
            <w:vAlign w:val="center"/>
          </w:tcPr>
          <w:p w:rsidR="00CC4295" w:rsidRPr="005A25CE" w:rsidRDefault="00CC4295" w:rsidP="00C02791">
            <w:pPr>
              <w:numPr>
                <w:ilvl w:val="12"/>
                <w:numId w:val="0"/>
              </w:numPr>
              <w:tabs>
                <w:tab w:val="left" w:pos="-720"/>
              </w:tabs>
              <w:jc w:val="center"/>
              <w:rPr>
                <w:rFonts w:asciiTheme="minorHAnsi" w:hAnsiTheme="minorHAnsi"/>
                <w:sz w:val="20"/>
              </w:rPr>
            </w:pPr>
            <w:r w:rsidRPr="005A25CE">
              <w:rPr>
                <w:rFonts w:asciiTheme="minorHAnsi" w:hAnsiTheme="minorHAnsi"/>
                <w:sz w:val="20"/>
              </w:rPr>
              <w:t>nebo</w:t>
            </w:r>
          </w:p>
        </w:tc>
        <w:tc>
          <w:tcPr>
            <w:tcW w:w="4820" w:type="dxa"/>
          </w:tcPr>
          <w:p w:rsidR="00CC4295" w:rsidRPr="005A25CE" w:rsidRDefault="00CC4295" w:rsidP="00C0279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Česká podnikatelská pojišťovna, a.s.,</w:t>
            </w:r>
          </w:p>
          <w:p w:rsidR="00CC4295" w:rsidRPr="005A25CE" w:rsidRDefault="00CC4295" w:rsidP="00C0279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 xml:space="preserve">Vienna Insurance Group </w:t>
            </w:r>
          </w:p>
          <w:p w:rsidR="00CC4295" w:rsidRPr="005A25CE" w:rsidRDefault="00CC4295" w:rsidP="00C0279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 xml:space="preserve">OLPU MO </w:t>
            </w:r>
          </w:p>
          <w:p w:rsidR="00CC4295" w:rsidRPr="005A25CE" w:rsidRDefault="00CC4295" w:rsidP="00C0279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 xml:space="preserve">P.O.BOX 28 </w:t>
            </w:r>
          </w:p>
          <w:p w:rsidR="00CC4295" w:rsidRPr="005A25CE" w:rsidRDefault="00CC4295" w:rsidP="00C0279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 xml:space="preserve">664 42  Modřice </w:t>
            </w:r>
          </w:p>
          <w:p w:rsidR="00CC4295" w:rsidRPr="005A25CE" w:rsidRDefault="00CC4295" w:rsidP="00C02791">
            <w:pPr>
              <w:numPr>
                <w:ilvl w:val="12"/>
                <w:numId w:val="0"/>
              </w:numPr>
              <w:tabs>
                <w:tab w:val="left" w:pos="-720"/>
              </w:tabs>
              <w:jc w:val="both"/>
              <w:rPr>
                <w:rFonts w:asciiTheme="minorHAnsi" w:hAnsiTheme="minorHAnsi"/>
                <w:b/>
                <w:bCs/>
                <w:sz w:val="22"/>
                <w:szCs w:val="22"/>
              </w:rPr>
            </w:pPr>
            <w:r w:rsidRPr="005A25CE">
              <w:rPr>
                <w:rFonts w:asciiTheme="minorHAnsi" w:hAnsiTheme="minorHAnsi"/>
                <w:b/>
                <w:bCs/>
                <w:sz w:val="22"/>
                <w:szCs w:val="22"/>
              </w:rPr>
              <w:t>tel.</w:t>
            </w:r>
            <w:r w:rsidR="00EB5C02" w:rsidRPr="005A25CE">
              <w:rPr>
                <w:rFonts w:asciiTheme="minorHAnsi" w:hAnsiTheme="minorHAnsi"/>
                <w:b/>
                <w:bCs/>
                <w:sz w:val="22"/>
                <w:szCs w:val="22"/>
              </w:rPr>
              <w:t>: 957</w:t>
            </w:r>
            <w:r w:rsidRPr="005A25CE">
              <w:rPr>
                <w:rFonts w:asciiTheme="minorHAnsi" w:hAnsiTheme="minorHAnsi"/>
                <w:b/>
                <w:bCs/>
                <w:sz w:val="22"/>
                <w:szCs w:val="22"/>
              </w:rPr>
              <w:t xml:space="preserve"> 444 555, fax: 547 213 468,</w:t>
            </w:r>
          </w:p>
          <w:p w:rsidR="00CC4295" w:rsidRPr="005A25CE" w:rsidRDefault="0080343B" w:rsidP="00C02791">
            <w:pPr>
              <w:numPr>
                <w:ilvl w:val="12"/>
                <w:numId w:val="0"/>
              </w:numPr>
              <w:tabs>
                <w:tab w:val="left" w:pos="-720"/>
              </w:tabs>
              <w:jc w:val="both"/>
              <w:rPr>
                <w:rFonts w:asciiTheme="minorHAnsi" w:hAnsiTheme="minorHAnsi"/>
                <w:b/>
                <w:bCs/>
                <w:sz w:val="22"/>
                <w:szCs w:val="22"/>
              </w:rPr>
            </w:pPr>
            <w:hyperlink r:id="rId10" w:history="1">
              <w:r w:rsidR="00217709" w:rsidRPr="005A25CE">
                <w:rPr>
                  <w:rStyle w:val="Hypertextovodkaz"/>
                  <w:rFonts w:asciiTheme="minorHAnsi" w:hAnsiTheme="minorHAnsi"/>
                  <w:b/>
                  <w:bCs/>
                  <w:color w:val="auto"/>
                  <w:sz w:val="22"/>
                  <w:szCs w:val="22"/>
                </w:rPr>
                <w:t>likvidace</w:t>
              </w:r>
              <w:r w:rsidR="00CC4295" w:rsidRPr="005A25CE">
                <w:rPr>
                  <w:rStyle w:val="Hypertextovodkaz"/>
                  <w:rFonts w:asciiTheme="minorHAnsi" w:hAnsiTheme="minorHAnsi"/>
                  <w:b/>
                  <w:bCs/>
                  <w:color w:val="auto"/>
                  <w:sz w:val="22"/>
                  <w:szCs w:val="22"/>
                </w:rPr>
                <w:t>@cpp.cz</w:t>
              </w:r>
            </w:hyperlink>
            <w:r w:rsidR="00CC4295" w:rsidRPr="005A25CE">
              <w:rPr>
                <w:rFonts w:asciiTheme="minorHAnsi" w:hAnsiTheme="minorHAnsi"/>
                <w:b/>
                <w:bCs/>
                <w:sz w:val="22"/>
                <w:szCs w:val="22"/>
              </w:rPr>
              <w:t xml:space="preserve"> </w:t>
            </w:r>
          </w:p>
        </w:tc>
      </w:tr>
    </w:tbl>
    <w:p w:rsidR="00BC5BD1" w:rsidRDefault="00BC5BD1" w:rsidP="00CC4295">
      <w:pPr>
        <w:numPr>
          <w:ilvl w:val="12"/>
          <w:numId w:val="0"/>
        </w:numPr>
        <w:spacing w:before="360"/>
        <w:jc w:val="center"/>
        <w:rPr>
          <w:rFonts w:asciiTheme="minorHAnsi" w:hAnsiTheme="minorHAnsi"/>
          <w:b/>
          <w:sz w:val="20"/>
        </w:rPr>
      </w:pPr>
    </w:p>
    <w:p w:rsidR="005A25CE" w:rsidRPr="005A25CE" w:rsidRDefault="005A25CE" w:rsidP="00CC4295">
      <w:pPr>
        <w:numPr>
          <w:ilvl w:val="12"/>
          <w:numId w:val="0"/>
        </w:numPr>
        <w:spacing w:before="360"/>
        <w:jc w:val="center"/>
        <w:rPr>
          <w:rFonts w:asciiTheme="minorHAnsi" w:hAnsiTheme="minorHAnsi"/>
          <w:b/>
          <w:sz w:val="20"/>
        </w:rPr>
      </w:pPr>
      <w:bookmarkStart w:id="1" w:name="_GoBack"/>
      <w:bookmarkEnd w:id="1"/>
    </w:p>
    <w:p w:rsidR="00CC4295" w:rsidRPr="005A25CE" w:rsidRDefault="00CC4295" w:rsidP="00CC4295">
      <w:pPr>
        <w:numPr>
          <w:ilvl w:val="12"/>
          <w:numId w:val="0"/>
        </w:numPr>
        <w:spacing w:before="360"/>
        <w:jc w:val="center"/>
        <w:rPr>
          <w:rFonts w:asciiTheme="minorHAnsi" w:hAnsiTheme="minorHAnsi"/>
          <w:b/>
          <w:sz w:val="20"/>
        </w:rPr>
      </w:pPr>
      <w:r w:rsidRPr="005A25CE">
        <w:rPr>
          <w:rFonts w:asciiTheme="minorHAnsi" w:hAnsiTheme="minorHAnsi"/>
          <w:b/>
          <w:sz w:val="20"/>
        </w:rPr>
        <w:lastRenderedPageBreak/>
        <w:t>Článek V.</w:t>
      </w:r>
    </w:p>
    <w:p w:rsidR="00CC4295" w:rsidRPr="005A25CE" w:rsidRDefault="00CC4295" w:rsidP="00CC4295">
      <w:pPr>
        <w:numPr>
          <w:ilvl w:val="12"/>
          <w:numId w:val="0"/>
        </w:numPr>
        <w:jc w:val="center"/>
        <w:rPr>
          <w:rFonts w:asciiTheme="minorHAnsi" w:hAnsiTheme="minorHAnsi"/>
          <w:b/>
          <w:sz w:val="20"/>
          <w:u w:val="single"/>
        </w:rPr>
      </w:pPr>
      <w:r w:rsidRPr="005A25CE">
        <w:rPr>
          <w:rFonts w:asciiTheme="minorHAnsi" w:hAnsiTheme="minorHAnsi"/>
          <w:b/>
          <w:sz w:val="20"/>
          <w:u w:val="single"/>
        </w:rPr>
        <w:t>Plnění pojistitele</w:t>
      </w:r>
      <w:r w:rsidR="00CF3885" w:rsidRPr="005A25CE">
        <w:rPr>
          <w:rFonts w:asciiTheme="minorHAnsi" w:hAnsiTheme="minorHAnsi"/>
          <w:b/>
          <w:sz w:val="20"/>
          <w:u w:val="single"/>
        </w:rPr>
        <w:t>, povinnosti pojistníka</w:t>
      </w:r>
      <w:r w:rsidR="001A7941" w:rsidRPr="005A25CE">
        <w:rPr>
          <w:rFonts w:asciiTheme="minorHAnsi" w:hAnsiTheme="minorHAnsi"/>
          <w:b/>
          <w:sz w:val="20"/>
          <w:u w:val="single"/>
        </w:rPr>
        <w:t>, ostatní smluvní ujednání</w:t>
      </w:r>
    </w:p>
    <w:p w:rsidR="00CC4295" w:rsidRPr="005A25CE" w:rsidRDefault="00CC4295" w:rsidP="00CC4295">
      <w:pPr>
        <w:numPr>
          <w:ilvl w:val="0"/>
          <w:numId w:val="21"/>
        </w:numPr>
        <w:tabs>
          <w:tab w:val="left" w:pos="-720"/>
        </w:tabs>
        <w:spacing w:before="60"/>
        <w:ind w:left="360" w:hanging="360"/>
        <w:jc w:val="both"/>
        <w:rPr>
          <w:rFonts w:asciiTheme="minorHAnsi" w:hAnsiTheme="minorHAnsi"/>
          <w:sz w:val="20"/>
        </w:rPr>
      </w:pPr>
      <w:r w:rsidRPr="005A25CE">
        <w:rPr>
          <w:rFonts w:asciiTheme="minorHAnsi" w:hAnsiTheme="minorHAnsi"/>
          <w:sz w:val="20"/>
        </w:rPr>
        <w:t xml:space="preserve">Vznikne-li právo na plnění z pojistné události, poskytne pojistitel plnění podle </w:t>
      </w:r>
      <w:r w:rsidRPr="005A25CE">
        <w:rPr>
          <w:rFonts w:asciiTheme="minorHAnsi" w:hAnsiTheme="minorHAnsi"/>
          <w:b/>
          <w:bCs/>
          <w:sz w:val="20"/>
        </w:rPr>
        <w:t>VPP</w:t>
      </w:r>
      <w:r w:rsidRPr="005A25CE">
        <w:rPr>
          <w:rFonts w:asciiTheme="minorHAnsi" w:hAnsiTheme="minorHAnsi"/>
          <w:sz w:val="20"/>
        </w:rPr>
        <w:t xml:space="preserve">, </w:t>
      </w:r>
      <w:r w:rsidRPr="005A25CE">
        <w:rPr>
          <w:rFonts w:asciiTheme="minorHAnsi" w:hAnsiTheme="minorHAnsi"/>
          <w:b/>
          <w:bCs/>
          <w:sz w:val="20"/>
        </w:rPr>
        <w:t>DPP</w:t>
      </w:r>
      <w:r w:rsidR="001C6D8C" w:rsidRPr="005A25CE">
        <w:rPr>
          <w:rFonts w:asciiTheme="minorHAnsi" w:hAnsiTheme="minorHAnsi"/>
          <w:b/>
          <w:bCs/>
          <w:sz w:val="20"/>
        </w:rPr>
        <w:t xml:space="preserve"> </w:t>
      </w:r>
      <w:r w:rsidRPr="005A25CE">
        <w:rPr>
          <w:rFonts w:asciiTheme="minorHAnsi" w:hAnsiTheme="minorHAnsi"/>
          <w:sz w:val="20"/>
        </w:rPr>
        <w:t>a ujednání uvedených v této pojistné smlouvě.</w:t>
      </w:r>
    </w:p>
    <w:p w:rsidR="00CC4295" w:rsidRPr="005A25CE" w:rsidRDefault="00CC4295" w:rsidP="00CC4295">
      <w:pPr>
        <w:numPr>
          <w:ilvl w:val="0"/>
          <w:numId w:val="21"/>
        </w:numPr>
        <w:tabs>
          <w:tab w:val="left" w:pos="-720"/>
        </w:tabs>
        <w:spacing w:before="60"/>
        <w:ind w:left="360" w:hanging="360"/>
        <w:jc w:val="both"/>
        <w:rPr>
          <w:rFonts w:asciiTheme="minorHAnsi" w:hAnsiTheme="minorHAnsi"/>
          <w:sz w:val="20"/>
        </w:rPr>
      </w:pPr>
      <w:r w:rsidRPr="005A25CE">
        <w:rPr>
          <w:rFonts w:asciiTheme="minorHAnsi" w:hAnsiTheme="minorHAnsi"/>
          <w:sz w:val="20"/>
        </w:rPr>
        <w:t>V případě plnění v cizí měně se pro přepočet použije kursu oficiálně vyhlášeného ČNB ke dni vzniku pojistné události.</w:t>
      </w:r>
    </w:p>
    <w:p w:rsidR="00CC4295" w:rsidRPr="005A25CE" w:rsidRDefault="00CC4295" w:rsidP="00CC4295">
      <w:pPr>
        <w:numPr>
          <w:ilvl w:val="0"/>
          <w:numId w:val="21"/>
        </w:numPr>
        <w:tabs>
          <w:tab w:val="left" w:pos="-720"/>
        </w:tabs>
        <w:spacing w:before="60"/>
        <w:ind w:left="360" w:hanging="360"/>
        <w:jc w:val="both"/>
        <w:rPr>
          <w:rFonts w:asciiTheme="minorHAnsi" w:hAnsiTheme="minorHAnsi"/>
          <w:sz w:val="20"/>
        </w:rPr>
      </w:pPr>
      <w:r w:rsidRPr="005A25CE">
        <w:rPr>
          <w:rFonts w:asciiTheme="minorHAnsi" w:hAnsiTheme="minorHAnsi"/>
          <w:sz w:val="20"/>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rsidR="00CF3885" w:rsidRPr="005A25CE" w:rsidRDefault="00CF3885" w:rsidP="00CF3885">
      <w:pPr>
        <w:numPr>
          <w:ilvl w:val="0"/>
          <w:numId w:val="21"/>
        </w:numPr>
        <w:tabs>
          <w:tab w:val="left" w:pos="-720"/>
        </w:tabs>
        <w:spacing w:before="60"/>
        <w:ind w:left="360" w:hanging="360"/>
        <w:jc w:val="both"/>
        <w:rPr>
          <w:rFonts w:asciiTheme="minorHAnsi" w:hAnsiTheme="minorHAnsi"/>
          <w:sz w:val="20"/>
        </w:rPr>
      </w:pPr>
      <w:r w:rsidRPr="005A25CE">
        <w:rPr>
          <w:rFonts w:asciiTheme="minorHAnsi" w:hAnsiTheme="minorHAnsi"/>
          <w:sz w:val="20"/>
        </w:rPr>
        <w:t xml:space="preserve">Pojistník je povinen vést </w:t>
      </w:r>
      <w:r w:rsidR="00BC5BD1" w:rsidRPr="005A25CE">
        <w:rPr>
          <w:rFonts w:asciiTheme="minorHAnsi" w:hAnsiTheme="minorHAnsi"/>
          <w:sz w:val="20"/>
        </w:rPr>
        <w:t>evidenci pojištěných osob</w:t>
      </w:r>
      <w:r w:rsidRPr="005A25CE">
        <w:rPr>
          <w:rFonts w:asciiTheme="minorHAnsi" w:hAnsiTheme="minorHAnsi"/>
          <w:sz w:val="20"/>
        </w:rPr>
        <w:t xml:space="preserve"> a na požádání ji předat pojistiteli.</w:t>
      </w:r>
    </w:p>
    <w:p w:rsidR="00CF3885" w:rsidRPr="005A25CE" w:rsidRDefault="00CF3885" w:rsidP="00CF3885">
      <w:pPr>
        <w:numPr>
          <w:ilvl w:val="0"/>
          <w:numId w:val="21"/>
        </w:numPr>
        <w:tabs>
          <w:tab w:val="left" w:pos="-720"/>
        </w:tabs>
        <w:spacing w:before="60"/>
        <w:ind w:left="360" w:hanging="360"/>
        <w:jc w:val="both"/>
        <w:rPr>
          <w:rFonts w:asciiTheme="minorHAnsi" w:hAnsiTheme="minorHAnsi"/>
          <w:sz w:val="20"/>
        </w:rPr>
      </w:pPr>
      <w:r w:rsidRPr="005A25CE">
        <w:rPr>
          <w:rFonts w:asciiTheme="minorHAnsi" w:hAnsiTheme="minorHAnsi"/>
          <w:sz w:val="20"/>
        </w:rPr>
        <w:t>Pojistník je povinen soustředit veškerou dokumentaci potřebnou k likvidaci pojistné události, zejména:</w:t>
      </w:r>
    </w:p>
    <w:p w:rsidR="00CF3885" w:rsidRPr="005A25CE" w:rsidRDefault="00CF3885" w:rsidP="00CF3885">
      <w:pPr>
        <w:numPr>
          <w:ilvl w:val="1"/>
          <w:numId w:val="28"/>
        </w:numPr>
        <w:tabs>
          <w:tab w:val="clear" w:pos="900"/>
        </w:tabs>
        <w:ind w:left="851" w:hanging="283"/>
        <w:jc w:val="both"/>
        <w:rPr>
          <w:rFonts w:asciiTheme="minorHAnsi" w:hAnsiTheme="minorHAnsi"/>
          <w:sz w:val="20"/>
          <w:szCs w:val="20"/>
        </w:rPr>
      </w:pPr>
      <w:r w:rsidRPr="005A25CE">
        <w:rPr>
          <w:rFonts w:asciiTheme="minorHAnsi" w:hAnsiTheme="minorHAnsi"/>
          <w:sz w:val="20"/>
          <w:szCs w:val="20"/>
        </w:rPr>
        <w:t>vyplněné a potvrzené hlášení o škodné události</w:t>
      </w:r>
    </w:p>
    <w:p w:rsidR="00CF3885" w:rsidRPr="005A25CE" w:rsidRDefault="00CF3885" w:rsidP="00CF3885">
      <w:pPr>
        <w:numPr>
          <w:ilvl w:val="1"/>
          <w:numId w:val="28"/>
        </w:numPr>
        <w:tabs>
          <w:tab w:val="clear" w:pos="900"/>
        </w:tabs>
        <w:ind w:left="851" w:hanging="283"/>
        <w:jc w:val="both"/>
        <w:rPr>
          <w:rFonts w:asciiTheme="minorHAnsi" w:hAnsiTheme="minorHAnsi"/>
          <w:sz w:val="20"/>
          <w:szCs w:val="20"/>
        </w:rPr>
      </w:pPr>
      <w:r w:rsidRPr="005A25CE">
        <w:rPr>
          <w:rFonts w:asciiTheme="minorHAnsi" w:hAnsiTheme="minorHAnsi"/>
          <w:sz w:val="20"/>
          <w:szCs w:val="20"/>
        </w:rPr>
        <w:t>doklad o uplatnění náhrady újmy</w:t>
      </w:r>
    </w:p>
    <w:p w:rsidR="00CF3885" w:rsidRPr="005A25CE" w:rsidRDefault="00CF3885" w:rsidP="00CF3885">
      <w:pPr>
        <w:numPr>
          <w:ilvl w:val="1"/>
          <w:numId w:val="28"/>
        </w:numPr>
        <w:tabs>
          <w:tab w:val="clear" w:pos="900"/>
        </w:tabs>
        <w:ind w:left="851" w:hanging="283"/>
        <w:jc w:val="both"/>
        <w:rPr>
          <w:rFonts w:asciiTheme="minorHAnsi" w:hAnsiTheme="minorHAnsi"/>
          <w:sz w:val="20"/>
          <w:szCs w:val="20"/>
        </w:rPr>
      </w:pPr>
      <w:r w:rsidRPr="005A25CE">
        <w:rPr>
          <w:rFonts w:asciiTheme="minorHAnsi" w:hAnsiTheme="minorHAnsi"/>
          <w:sz w:val="20"/>
          <w:szCs w:val="20"/>
        </w:rPr>
        <w:t>doklad o porušení povinnosti pojištěného (např. zápis ze škodní komise, doklad o vyšetřování orgány činnými v trestním řízení, soudní rozhodnutí atd.)</w:t>
      </w:r>
    </w:p>
    <w:p w:rsidR="00CF3885" w:rsidRPr="005A25CE" w:rsidRDefault="00CF3885" w:rsidP="00CF3885">
      <w:pPr>
        <w:numPr>
          <w:ilvl w:val="1"/>
          <w:numId w:val="28"/>
        </w:numPr>
        <w:tabs>
          <w:tab w:val="clear" w:pos="900"/>
        </w:tabs>
        <w:ind w:left="851" w:hanging="283"/>
        <w:jc w:val="both"/>
        <w:rPr>
          <w:rFonts w:asciiTheme="minorHAnsi" w:hAnsiTheme="minorHAnsi"/>
          <w:sz w:val="20"/>
          <w:szCs w:val="20"/>
        </w:rPr>
      </w:pPr>
      <w:r w:rsidRPr="005A25CE">
        <w:rPr>
          <w:rFonts w:asciiTheme="minorHAnsi" w:hAnsiTheme="minorHAnsi"/>
          <w:sz w:val="20"/>
          <w:szCs w:val="20"/>
        </w:rPr>
        <w:t>doklad o výši skutečné újmy</w:t>
      </w:r>
    </w:p>
    <w:p w:rsidR="00BC5BD1" w:rsidRPr="005A25CE" w:rsidRDefault="00BC5BD1" w:rsidP="00CF3885">
      <w:pPr>
        <w:numPr>
          <w:ilvl w:val="1"/>
          <w:numId w:val="28"/>
        </w:numPr>
        <w:tabs>
          <w:tab w:val="clear" w:pos="900"/>
        </w:tabs>
        <w:ind w:left="851" w:hanging="283"/>
        <w:jc w:val="both"/>
        <w:rPr>
          <w:rFonts w:asciiTheme="minorHAnsi" w:hAnsiTheme="minorHAnsi"/>
          <w:sz w:val="20"/>
          <w:szCs w:val="20"/>
        </w:rPr>
      </w:pPr>
      <w:r w:rsidRPr="005A25CE">
        <w:rPr>
          <w:rFonts w:asciiTheme="minorHAnsi" w:hAnsiTheme="minorHAnsi"/>
          <w:sz w:val="20"/>
          <w:szCs w:val="20"/>
        </w:rPr>
        <w:t>doklad o členství v ZO OS</w:t>
      </w:r>
    </w:p>
    <w:p w:rsidR="00CF3885" w:rsidRPr="005A25CE" w:rsidRDefault="00CF3885" w:rsidP="00CF3885">
      <w:pPr>
        <w:numPr>
          <w:ilvl w:val="0"/>
          <w:numId w:val="21"/>
        </w:numPr>
        <w:tabs>
          <w:tab w:val="left" w:pos="-720"/>
        </w:tabs>
        <w:spacing w:before="60"/>
        <w:ind w:left="360" w:hanging="360"/>
        <w:jc w:val="both"/>
        <w:rPr>
          <w:rFonts w:asciiTheme="minorHAnsi" w:hAnsiTheme="minorHAnsi"/>
          <w:sz w:val="20"/>
        </w:rPr>
      </w:pPr>
      <w:r w:rsidRPr="005A25CE">
        <w:rPr>
          <w:rFonts w:asciiTheme="minorHAnsi" w:hAnsiTheme="minorHAnsi"/>
          <w:sz w:val="20"/>
        </w:rPr>
        <w:t>Pojistník se zavazuje informovat pojištěné o sjednání této pojistné smlouvy a jejím obsahu, včetně obsahu VPP a DPP.</w:t>
      </w:r>
    </w:p>
    <w:p w:rsidR="001A7941" w:rsidRPr="005A25CE" w:rsidRDefault="001A7941" w:rsidP="001A7941">
      <w:pPr>
        <w:ind w:left="705" w:hanging="705"/>
        <w:rPr>
          <w:rFonts w:asciiTheme="minorHAnsi" w:hAnsiTheme="minorHAnsi"/>
          <w:sz w:val="20"/>
          <w:szCs w:val="20"/>
        </w:rPr>
      </w:pPr>
    </w:p>
    <w:p w:rsidR="00CC4295" w:rsidRPr="005A25CE" w:rsidRDefault="00CC4295" w:rsidP="00CC4295">
      <w:pPr>
        <w:numPr>
          <w:ilvl w:val="12"/>
          <w:numId w:val="0"/>
        </w:numPr>
        <w:spacing w:before="360"/>
        <w:jc w:val="center"/>
        <w:rPr>
          <w:rFonts w:asciiTheme="minorHAnsi" w:hAnsiTheme="minorHAnsi"/>
          <w:b/>
          <w:sz w:val="20"/>
        </w:rPr>
      </w:pPr>
      <w:r w:rsidRPr="005A25CE">
        <w:rPr>
          <w:rFonts w:asciiTheme="minorHAnsi" w:hAnsiTheme="minorHAnsi"/>
          <w:b/>
          <w:sz w:val="20"/>
        </w:rPr>
        <w:t>Článek VI.</w:t>
      </w:r>
    </w:p>
    <w:p w:rsidR="00CC4295" w:rsidRPr="005A25CE" w:rsidRDefault="00CC4295" w:rsidP="00CC4295">
      <w:pPr>
        <w:jc w:val="center"/>
        <w:rPr>
          <w:rFonts w:asciiTheme="minorHAnsi" w:hAnsiTheme="minorHAnsi"/>
          <w:b/>
          <w:sz w:val="20"/>
          <w:u w:val="single"/>
        </w:rPr>
      </w:pPr>
      <w:r w:rsidRPr="005A25CE">
        <w:rPr>
          <w:rFonts w:asciiTheme="minorHAnsi" w:hAnsiTheme="minorHAnsi"/>
          <w:b/>
          <w:sz w:val="20"/>
          <w:u w:val="single"/>
        </w:rPr>
        <w:t>Výše a způsob placení pojistného</w:t>
      </w:r>
    </w:p>
    <w:p w:rsidR="00CC4295" w:rsidRPr="005A25CE" w:rsidRDefault="001A7941" w:rsidP="00ED194A">
      <w:pPr>
        <w:numPr>
          <w:ilvl w:val="0"/>
          <w:numId w:val="23"/>
        </w:numPr>
        <w:tabs>
          <w:tab w:val="left" w:pos="-1800"/>
        </w:tabs>
        <w:spacing w:before="120"/>
        <w:jc w:val="both"/>
        <w:rPr>
          <w:rFonts w:asciiTheme="minorHAnsi" w:hAnsiTheme="minorHAnsi"/>
          <w:sz w:val="20"/>
        </w:rPr>
      </w:pPr>
      <w:r w:rsidRPr="005A25CE">
        <w:rPr>
          <w:rFonts w:asciiTheme="minorHAnsi" w:hAnsiTheme="minorHAnsi"/>
          <w:sz w:val="20"/>
        </w:rPr>
        <w:t>Pojistné je pojistným jednorázovým</w:t>
      </w:r>
      <w:r w:rsidR="00CC4295" w:rsidRPr="005A25CE">
        <w:rPr>
          <w:rFonts w:asciiTheme="minorHAnsi" w:hAnsiTheme="minorHAnsi"/>
          <w:sz w:val="20"/>
        </w:rPr>
        <w:t>.</w:t>
      </w:r>
      <w:r w:rsidR="00ED194A" w:rsidRPr="005A25CE">
        <w:rPr>
          <w:rFonts w:asciiTheme="minorHAnsi" w:hAnsiTheme="minorHAnsi"/>
          <w:sz w:val="20"/>
        </w:rPr>
        <w:t xml:space="preserve"> Ujednává se, že pojištěným, kt</w:t>
      </w:r>
      <w:r w:rsidR="00BC5BD1" w:rsidRPr="005A25CE">
        <w:rPr>
          <w:rFonts w:asciiTheme="minorHAnsi" w:hAnsiTheme="minorHAnsi"/>
          <w:sz w:val="20"/>
        </w:rPr>
        <w:t xml:space="preserve">eří mají sjednán rozsah pro </w:t>
      </w:r>
      <w:r w:rsidR="00ED194A" w:rsidRPr="005A25CE">
        <w:rPr>
          <w:rFonts w:asciiTheme="minorHAnsi" w:hAnsiTheme="minorHAnsi"/>
          <w:sz w:val="20"/>
        </w:rPr>
        <w:t>činnosti konané na základě dohody o provedení práce a škody vzniklé v rámci teoretického nebo praktického vyučování, nevzniká při ukončení pojištění nárok na nespotřebované pojistné.</w:t>
      </w:r>
    </w:p>
    <w:p w:rsidR="00324B3D" w:rsidRPr="005A25CE" w:rsidRDefault="00324B3D" w:rsidP="00CC4295">
      <w:pPr>
        <w:numPr>
          <w:ilvl w:val="0"/>
          <w:numId w:val="23"/>
        </w:numPr>
        <w:tabs>
          <w:tab w:val="left" w:pos="-1800"/>
        </w:tabs>
        <w:spacing w:before="120"/>
        <w:jc w:val="both"/>
        <w:rPr>
          <w:rFonts w:asciiTheme="minorHAnsi" w:hAnsiTheme="minorHAnsi"/>
          <w:sz w:val="20"/>
        </w:rPr>
      </w:pPr>
      <w:r w:rsidRPr="005A25CE">
        <w:rPr>
          <w:rFonts w:asciiTheme="minorHAnsi" w:hAnsiTheme="minorHAnsi"/>
          <w:sz w:val="20"/>
        </w:rPr>
        <w:t>Roční pojistné pro každého pojiš</w:t>
      </w:r>
      <w:r w:rsidR="001A7941" w:rsidRPr="005A25CE">
        <w:rPr>
          <w:rFonts w:asciiTheme="minorHAnsi" w:hAnsiTheme="minorHAnsi"/>
          <w:sz w:val="20"/>
        </w:rPr>
        <w:t xml:space="preserve">těného je uvedeno v příloze č. </w:t>
      </w:r>
      <w:r w:rsidR="00631587" w:rsidRPr="005A25CE">
        <w:rPr>
          <w:rFonts w:asciiTheme="minorHAnsi" w:hAnsiTheme="minorHAnsi"/>
          <w:sz w:val="20"/>
        </w:rPr>
        <w:t>1</w:t>
      </w:r>
      <w:r w:rsidRPr="005A25CE">
        <w:rPr>
          <w:rFonts w:asciiTheme="minorHAnsi" w:hAnsiTheme="minorHAnsi"/>
          <w:sz w:val="20"/>
        </w:rPr>
        <w:t xml:space="preserve"> této pojistné smlouvy</w:t>
      </w:r>
      <w:r w:rsidR="001A7941" w:rsidRPr="005A25CE">
        <w:rPr>
          <w:rFonts w:asciiTheme="minorHAnsi" w:hAnsiTheme="minorHAnsi"/>
          <w:sz w:val="20"/>
        </w:rPr>
        <w:t>.</w:t>
      </w:r>
      <w:r w:rsidRPr="005A25CE">
        <w:rPr>
          <w:rFonts w:asciiTheme="minorHAnsi" w:hAnsiTheme="minorHAnsi"/>
          <w:i/>
          <w:sz w:val="20"/>
        </w:rPr>
        <w:t xml:space="preserve"> </w:t>
      </w:r>
    </w:p>
    <w:p w:rsidR="00CC4295" w:rsidRPr="005A25CE" w:rsidRDefault="00324B3D" w:rsidP="00CC4295">
      <w:pPr>
        <w:numPr>
          <w:ilvl w:val="0"/>
          <w:numId w:val="23"/>
        </w:numPr>
        <w:tabs>
          <w:tab w:val="left" w:pos="-1800"/>
        </w:tabs>
        <w:spacing w:before="120"/>
        <w:jc w:val="both"/>
        <w:rPr>
          <w:rFonts w:asciiTheme="minorHAnsi" w:hAnsiTheme="minorHAnsi"/>
          <w:sz w:val="20"/>
        </w:rPr>
      </w:pPr>
      <w:r w:rsidRPr="005A25CE">
        <w:rPr>
          <w:rFonts w:asciiTheme="minorHAnsi" w:hAnsiTheme="minorHAnsi"/>
          <w:sz w:val="20"/>
        </w:rPr>
        <w:t>Celkové roční p</w:t>
      </w:r>
      <w:r w:rsidR="00CC4295" w:rsidRPr="005A25CE">
        <w:rPr>
          <w:rFonts w:asciiTheme="minorHAnsi" w:hAnsiTheme="minorHAnsi"/>
          <w:sz w:val="20"/>
        </w:rPr>
        <w:t>ojistné činí:</w:t>
      </w:r>
    </w:p>
    <w:tbl>
      <w:tblPr>
        <w:tblStyle w:val="Mkatabulky"/>
        <w:tblW w:w="4763" w:type="pct"/>
        <w:tblInd w:w="392" w:type="dxa"/>
        <w:tblLook w:val="04A0" w:firstRow="1" w:lastRow="0" w:firstColumn="1" w:lastColumn="0" w:noHBand="0" w:noVBand="1"/>
      </w:tblPr>
      <w:tblGrid>
        <w:gridCol w:w="9496"/>
      </w:tblGrid>
      <w:tr w:rsidR="005A25CE" w:rsidRPr="005A25CE" w:rsidTr="00324B3D">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4295" w:rsidRPr="005A25CE" w:rsidRDefault="00CC4295" w:rsidP="00324B3D">
            <w:pPr>
              <w:tabs>
                <w:tab w:val="right" w:leader="dot" w:pos="9214"/>
              </w:tabs>
              <w:jc w:val="both"/>
              <w:rPr>
                <w:rFonts w:asciiTheme="minorHAnsi" w:hAnsiTheme="minorHAnsi"/>
                <w:sz w:val="20"/>
              </w:rPr>
            </w:pPr>
            <w:r w:rsidRPr="005A25CE">
              <w:rPr>
                <w:rFonts w:asciiTheme="minorHAnsi" w:hAnsiTheme="minorHAnsi"/>
                <w:sz w:val="20"/>
              </w:rPr>
              <w:t>Hromadné pojištění odpovědnosti zaměstnance při výkonu povolání</w:t>
            </w:r>
            <w:r w:rsidRPr="005A25CE">
              <w:rPr>
                <w:rFonts w:asciiTheme="minorHAnsi" w:hAnsiTheme="minorHAnsi"/>
                <w:sz w:val="20"/>
              </w:rPr>
              <w:tab/>
              <w:t>,- Kč</w:t>
            </w:r>
          </w:p>
        </w:tc>
      </w:tr>
      <w:tr w:rsidR="005A25CE" w:rsidRPr="005A25CE" w:rsidTr="00324B3D">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4295" w:rsidRPr="005A25CE" w:rsidRDefault="00CC4295" w:rsidP="00C02791">
            <w:pPr>
              <w:tabs>
                <w:tab w:val="right" w:leader="dot" w:pos="9213"/>
              </w:tabs>
              <w:jc w:val="both"/>
              <w:rPr>
                <w:rFonts w:asciiTheme="minorHAnsi" w:hAnsiTheme="minorHAnsi"/>
                <w:b/>
                <w:sz w:val="20"/>
              </w:rPr>
            </w:pPr>
            <w:r w:rsidRPr="005A25CE">
              <w:rPr>
                <w:rFonts w:asciiTheme="minorHAnsi" w:hAnsiTheme="minorHAnsi"/>
                <w:b/>
                <w:sz w:val="20"/>
              </w:rPr>
              <w:t>Celkové roční pojistné po slevách činí</w:t>
            </w:r>
            <w:r w:rsidRPr="005A25CE">
              <w:rPr>
                <w:rFonts w:asciiTheme="minorHAnsi" w:hAnsiTheme="minorHAnsi"/>
                <w:b/>
                <w:sz w:val="20"/>
              </w:rPr>
              <w:tab/>
              <w:t>,- Kč</w:t>
            </w:r>
          </w:p>
        </w:tc>
      </w:tr>
    </w:tbl>
    <w:p w:rsidR="001A7941" w:rsidRPr="005A25CE" w:rsidRDefault="00CC4295" w:rsidP="00CC4295">
      <w:pPr>
        <w:numPr>
          <w:ilvl w:val="0"/>
          <w:numId w:val="23"/>
        </w:numPr>
        <w:tabs>
          <w:tab w:val="left" w:pos="-1800"/>
        </w:tabs>
        <w:spacing w:before="120"/>
        <w:jc w:val="both"/>
        <w:rPr>
          <w:rFonts w:asciiTheme="minorHAnsi" w:hAnsiTheme="minorHAnsi"/>
          <w:sz w:val="20"/>
        </w:rPr>
      </w:pPr>
      <w:r w:rsidRPr="005A25CE">
        <w:rPr>
          <w:rFonts w:asciiTheme="minorHAnsi" w:hAnsiTheme="minorHAnsi"/>
          <w:sz w:val="20"/>
        </w:rPr>
        <w:t>Pojistné se považuje za zaplacené okamžikem připsání příslušné částky pojistného na účet pojišťovacího makléře, je-li placena prostřednictvím peněžního ústavu.</w:t>
      </w:r>
      <w:r w:rsidR="001A7941" w:rsidRPr="005A25CE">
        <w:rPr>
          <w:rFonts w:asciiTheme="minorHAnsi" w:hAnsiTheme="minorHAnsi"/>
          <w:sz w:val="20"/>
        </w:rPr>
        <w:t xml:space="preserve"> </w:t>
      </w:r>
    </w:p>
    <w:p w:rsidR="00CC4295" w:rsidRPr="005A25CE" w:rsidRDefault="00CC4295" w:rsidP="00CC4295">
      <w:pPr>
        <w:numPr>
          <w:ilvl w:val="0"/>
          <w:numId w:val="23"/>
        </w:numPr>
        <w:tabs>
          <w:tab w:val="left" w:pos="-1800"/>
        </w:tabs>
        <w:spacing w:before="120"/>
        <w:jc w:val="both"/>
        <w:rPr>
          <w:rFonts w:asciiTheme="minorHAnsi" w:hAnsiTheme="minorHAnsi"/>
          <w:sz w:val="20"/>
        </w:rPr>
      </w:pPr>
      <w:r w:rsidRPr="005A25CE">
        <w:rPr>
          <w:rFonts w:asciiTheme="minorHAnsi" w:hAnsiTheme="minorHAnsi"/>
          <w:sz w:val="20"/>
        </w:rPr>
        <w:t>Pojistné bude placeno prostřednictvím peněžního ústavu na účet pojišťovacího</w:t>
      </w:r>
      <w:r w:rsidR="00631587" w:rsidRPr="005A25CE">
        <w:rPr>
          <w:rFonts w:asciiTheme="minorHAnsi" w:hAnsiTheme="minorHAnsi"/>
          <w:sz w:val="20"/>
        </w:rPr>
        <w:t xml:space="preserve"> makléře č. 5025001256/5500</w:t>
      </w:r>
      <w:r w:rsidRPr="005A25CE">
        <w:rPr>
          <w:rFonts w:asciiTheme="minorHAnsi" w:hAnsiTheme="minorHAnsi"/>
          <w:sz w:val="20"/>
        </w:rPr>
        <w:t>, v.s. (číslo pojistné smlouvy).</w:t>
      </w:r>
    </w:p>
    <w:p w:rsidR="006405A2" w:rsidRPr="005A25CE" w:rsidRDefault="006405A2" w:rsidP="006405A2">
      <w:pPr>
        <w:spacing w:before="120"/>
        <w:ind w:left="360"/>
        <w:jc w:val="both"/>
        <w:rPr>
          <w:rFonts w:asciiTheme="minorHAnsi" w:hAnsiTheme="minorHAnsi"/>
          <w:sz w:val="20"/>
        </w:rPr>
      </w:pPr>
      <w:r w:rsidRPr="005A25CE">
        <w:rPr>
          <w:rFonts w:asciiTheme="minorHAnsi" w:hAnsiTheme="minorHAnsi"/>
          <w:sz w:val="20"/>
        </w:rPr>
        <w:t>Pojistné za roční pojistné období činí ................... ,-Kč a je splatné v úplné výši k datu ............. .</w:t>
      </w:r>
    </w:p>
    <w:p w:rsidR="006405A2" w:rsidRPr="005A25CE" w:rsidRDefault="006405A2" w:rsidP="006405A2">
      <w:pPr>
        <w:tabs>
          <w:tab w:val="left" w:pos="-720"/>
          <w:tab w:val="left" w:pos="1843"/>
          <w:tab w:val="left" w:pos="5670"/>
        </w:tabs>
        <w:spacing w:before="120"/>
        <w:ind w:left="360"/>
        <w:jc w:val="both"/>
        <w:rPr>
          <w:rFonts w:asciiTheme="minorHAnsi" w:hAnsiTheme="minorHAnsi"/>
          <w:sz w:val="20"/>
        </w:rPr>
      </w:pPr>
      <w:r w:rsidRPr="005A25CE">
        <w:rPr>
          <w:rFonts w:asciiTheme="minorHAnsi" w:hAnsiTheme="minorHAnsi"/>
          <w:sz w:val="20"/>
        </w:rPr>
        <w:t>V následujících pojistných letech bude pojistné za roční pojistné období splatné vždy v úplné výši k datu ....... .</w:t>
      </w:r>
    </w:p>
    <w:p w:rsidR="00CC4295" w:rsidRPr="005A25CE" w:rsidRDefault="00CC4295" w:rsidP="00CC4295">
      <w:pPr>
        <w:tabs>
          <w:tab w:val="left" w:pos="-720"/>
          <w:tab w:val="left" w:pos="1843"/>
          <w:tab w:val="left" w:pos="5670"/>
        </w:tabs>
        <w:spacing w:before="120"/>
        <w:ind w:left="360"/>
        <w:jc w:val="both"/>
        <w:rPr>
          <w:rFonts w:asciiTheme="minorHAnsi" w:hAnsiTheme="minorHAnsi"/>
          <w:sz w:val="20"/>
        </w:rPr>
      </w:pPr>
    </w:p>
    <w:p w:rsidR="00E74678" w:rsidRPr="005A25CE" w:rsidRDefault="001C6D8C" w:rsidP="00324B3D">
      <w:pPr>
        <w:numPr>
          <w:ilvl w:val="0"/>
          <w:numId w:val="23"/>
        </w:numPr>
        <w:tabs>
          <w:tab w:val="left" w:pos="-1800"/>
        </w:tabs>
        <w:spacing w:before="120"/>
        <w:jc w:val="both"/>
        <w:rPr>
          <w:rFonts w:asciiTheme="minorHAnsi" w:hAnsiTheme="minorHAnsi"/>
          <w:sz w:val="20"/>
        </w:rPr>
      </w:pPr>
      <w:r w:rsidRPr="005A25CE">
        <w:rPr>
          <w:rFonts w:asciiTheme="minorHAnsi" w:hAnsiTheme="minorHAnsi"/>
          <w:sz w:val="20"/>
        </w:rPr>
        <w:t>Správa pojištění</w:t>
      </w:r>
      <w:r w:rsidR="00E74678" w:rsidRPr="005A25CE">
        <w:rPr>
          <w:rFonts w:asciiTheme="minorHAnsi" w:hAnsiTheme="minorHAnsi"/>
          <w:sz w:val="20"/>
        </w:rPr>
        <w:t>:</w:t>
      </w:r>
    </w:p>
    <w:p w:rsidR="00557634" w:rsidRPr="005A25CE" w:rsidRDefault="00E74678" w:rsidP="00324B3D">
      <w:pPr>
        <w:numPr>
          <w:ilvl w:val="0"/>
          <w:numId w:val="24"/>
        </w:numPr>
        <w:spacing w:before="60"/>
        <w:jc w:val="both"/>
        <w:rPr>
          <w:rFonts w:asciiTheme="minorHAnsi" w:hAnsiTheme="minorHAnsi"/>
          <w:sz w:val="20"/>
          <w:szCs w:val="20"/>
        </w:rPr>
      </w:pPr>
      <w:r w:rsidRPr="005A25CE">
        <w:rPr>
          <w:rFonts w:asciiTheme="minorHAnsi" w:hAnsiTheme="minorHAnsi"/>
          <w:sz w:val="20"/>
          <w:szCs w:val="20"/>
        </w:rPr>
        <w:t>Pojistník bude pojistiteli zasílat seznam nově zařazovaných a vyřazovanýc</w:t>
      </w:r>
      <w:r w:rsidR="00324B3D" w:rsidRPr="005A25CE">
        <w:rPr>
          <w:rFonts w:asciiTheme="minorHAnsi" w:hAnsiTheme="minorHAnsi"/>
          <w:sz w:val="20"/>
          <w:szCs w:val="20"/>
        </w:rPr>
        <w:t>h pojištěných osob z</w:t>
      </w:r>
      <w:r w:rsidR="009B4A8F" w:rsidRPr="005A25CE">
        <w:rPr>
          <w:rFonts w:asciiTheme="minorHAnsi" w:hAnsiTheme="minorHAnsi"/>
          <w:sz w:val="20"/>
          <w:szCs w:val="20"/>
        </w:rPr>
        <w:t> </w:t>
      </w:r>
      <w:r w:rsidR="00324B3D" w:rsidRPr="005A25CE">
        <w:rPr>
          <w:rFonts w:asciiTheme="minorHAnsi" w:hAnsiTheme="minorHAnsi"/>
          <w:sz w:val="20"/>
          <w:szCs w:val="20"/>
        </w:rPr>
        <w:t>pojištění</w:t>
      </w:r>
      <w:r w:rsidR="009B4A8F" w:rsidRPr="005A25CE">
        <w:rPr>
          <w:rFonts w:asciiTheme="minorHAnsi" w:hAnsiTheme="minorHAnsi"/>
          <w:sz w:val="20"/>
          <w:szCs w:val="20"/>
        </w:rPr>
        <w:t xml:space="preserve"> prostřednictvím makléřské společnosti</w:t>
      </w:r>
      <w:r w:rsidR="00324B3D" w:rsidRPr="005A25CE">
        <w:rPr>
          <w:rFonts w:asciiTheme="minorHAnsi" w:hAnsiTheme="minorHAnsi"/>
          <w:sz w:val="20"/>
          <w:szCs w:val="20"/>
        </w:rPr>
        <w:t>.</w:t>
      </w:r>
      <w:r w:rsidR="00BC5BD1" w:rsidRPr="005A25CE">
        <w:rPr>
          <w:rFonts w:asciiTheme="minorHAnsi" w:hAnsiTheme="minorHAnsi"/>
          <w:sz w:val="20"/>
          <w:szCs w:val="20"/>
        </w:rPr>
        <w:t xml:space="preserve"> Kontaktní údaje makléřské společnosti jsou uvedeny na příloze č. 2 této </w:t>
      </w:r>
      <w:r w:rsidR="00416773" w:rsidRPr="005A25CE">
        <w:rPr>
          <w:rFonts w:asciiTheme="minorHAnsi" w:hAnsiTheme="minorHAnsi"/>
          <w:sz w:val="20"/>
          <w:szCs w:val="20"/>
        </w:rPr>
        <w:t>pojistné smlouvy.</w:t>
      </w:r>
    </w:p>
    <w:p w:rsidR="006405A2" w:rsidRPr="005A25CE" w:rsidRDefault="00E74678" w:rsidP="006405A2">
      <w:pPr>
        <w:numPr>
          <w:ilvl w:val="0"/>
          <w:numId w:val="24"/>
        </w:numPr>
        <w:spacing w:before="60"/>
        <w:jc w:val="both"/>
        <w:rPr>
          <w:rFonts w:asciiTheme="minorHAnsi" w:hAnsiTheme="minorHAnsi"/>
          <w:sz w:val="20"/>
          <w:szCs w:val="20"/>
        </w:rPr>
      </w:pPr>
      <w:r w:rsidRPr="005A25CE">
        <w:rPr>
          <w:rFonts w:asciiTheme="minorHAnsi" w:hAnsiTheme="minorHAnsi"/>
          <w:sz w:val="20"/>
          <w:szCs w:val="20"/>
        </w:rPr>
        <w:t xml:space="preserve">Počátek pojištění </w:t>
      </w:r>
      <w:r w:rsidR="00557634" w:rsidRPr="005A25CE">
        <w:rPr>
          <w:rFonts w:asciiTheme="minorHAnsi" w:hAnsiTheme="minorHAnsi"/>
          <w:sz w:val="20"/>
          <w:szCs w:val="20"/>
        </w:rPr>
        <w:t xml:space="preserve">pro nově zařazované osoby je </w:t>
      </w:r>
      <w:r w:rsidRPr="005A25CE">
        <w:rPr>
          <w:rFonts w:asciiTheme="minorHAnsi" w:hAnsiTheme="minorHAnsi"/>
          <w:sz w:val="20"/>
          <w:szCs w:val="20"/>
        </w:rPr>
        <w:t xml:space="preserve">vždy </w:t>
      </w:r>
      <w:r w:rsidR="00557634" w:rsidRPr="005A25CE">
        <w:rPr>
          <w:rFonts w:asciiTheme="minorHAnsi" w:hAnsiTheme="minorHAnsi"/>
          <w:sz w:val="20"/>
          <w:szCs w:val="20"/>
        </w:rPr>
        <w:t xml:space="preserve">den </w:t>
      </w:r>
      <w:r w:rsidRPr="005A25CE">
        <w:rPr>
          <w:rFonts w:asciiTheme="minorHAnsi" w:hAnsiTheme="minorHAnsi"/>
          <w:sz w:val="20"/>
          <w:szCs w:val="20"/>
        </w:rPr>
        <w:t>následující</w:t>
      </w:r>
      <w:r w:rsidR="00557634" w:rsidRPr="005A25CE">
        <w:rPr>
          <w:rFonts w:asciiTheme="minorHAnsi" w:hAnsiTheme="minorHAnsi"/>
          <w:sz w:val="20"/>
          <w:szCs w:val="20"/>
        </w:rPr>
        <w:t xml:space="preserve"> po dni, kdy byl seznam </w:t>
      </w:r>
      <w:r w:rsidRPr="005A25CE">
        <w:rPr>
          <w:rFonts w:asciiTheme="minorHAnsi" w:hAnsiTheme="minorHAnsi"/>
          <w:sz w:val="20"/>
          <w:szCs w:val="20"/>
        </w:rPr>
        <w:t>doru</w:t>
      </w:r>
      <w:r w:rsidR="00557634" w:rsidRPr="005A25CE">
        <w:rPr>
          <w:rFonts w:asciiTheme="minorHAnsi" w:hAnsiTheme="minorHAnsi"/>
          <w:sz w:val="20"/>
          <w:szCs w:val="20"/>
        </w:rPr>
        <w:t>čen pojistiteli.</w:t>
      </w:r>
      <w:r w:rsidR="006405A2" w:rsidRPr="005A25CE">
        <w:rPr>
          <w:rFonts w:asciiTheme="minorHAnsi" w:hAnsiTheme="minorHAnsi"/>
          <w:sz w:val="20"/>
          <w:szCs w:val="20"/>
        </w:rPr>
        <w:t xml:space="preserve"> Podmínky pojištění a alikvotní pojistné do konce pojistného roku bude uvedeno na příloze</w:t>
      </w:r>
      <w:r w:rsidR="00416773" w:rsidRPr="005A25CE">
        <w:rPr>
          <w:rFonts w:asciiTheme="minorHAnsi" w:hAnsiTheme="minorHAnsi"/>
          <w:sz w:val="20"/>
          <w:szCs w:val="20"/>
        </w:rPr>
        <w:t xml:space="preserve"> č. 1 (seznam pojištěných osob</w:t>
      </w:r>
      <w:r w:rsidR="006405A2" w:rsidRPr="005A25CE">
        <w:rPr>
          <w:rFonts w:asciiTheme="minorHAnsi" w:hAnsiTheme="minorHAnsi"/>
          <w:sz w:val="20"/>
          <w:szCs w:val="20"/>
        </w:rPr>
        <w:t xml:space="preserve">). </w:t>
      </w:r>
    </w:p>
    <w:p w:rsidR="00CA1BED" w:rsidRPr="005A25CE" w:rsidRDefault="00CA1BED" w:rsidP="00CA1BED">
      <w:pPr>
        <w:numPr>
          <w:ilvl w:val="0"/>
          <w:numId w:val="24"/>
        </w:numPr>
        <w:spacing w:before="60"/>
        <w:jc w:val="both"/>
        <w:rPr>
          <w:rFonts w:asciiTheme="minorHAnsi" w:hAnsiTheme="minorHAnsi"/>
          <w:sz w:val="20"/>
          <w:szCs w:val="20"/>
        </w:rPr>
      </w:pPr>
      <w:r w:rsidRPr="005A25CE">
        <w:rPr>
          <w:rFonts w:asciiTheme="minorHAnsi" w:hAnsiTheme="minorHAnsi"/>
          <w:sz w:val="20"/>
          <w:szCs w:val="20"/>
        </w:rPr>
        <w:t>Ve stejném režimu budou realizovány změny v parametrech či rozsahu pojištění již pojištěných osob.</w:t>
      </w:r>
    </w:p>
    <w:p w:rsidR="00E74678" w:rsidRPr="005A25CE" w:rsidRDefault="00557634" w:rsidP="00557634">
      <w:pPr>
        <w:numPr>
          <w:ilvl w:val="0"/>
          <w:numId w:val="24"/>
        </w:numPr>
        <w:spacing w:before="60"/>
        <w:jc w:val="both"/>
        <w:rPr>
          <w:rFonts w:asciiTheme="minorHAnsi" w:hAnsiTheme="minorHAnsi"/>
          <w:sz w:val="20"/>
          <w:szCs w:val="20"/>
        </w:rPr>
      </w:pPr>
      <w:r w:rsidRPr="005A25CE">
        <w:rPr>
          <w:rFonts w:asciiTheme="minorHAnsi" w:hAnsiTheme="minorHAnsi"/>
          <w:sz w:val="20"/>
          <w:szCs w:val="20"/>
        </w:rPr>
        <w:t xml:space="preserve">Pojištění jednotlivých osob končí ke </w:t>
      </w:r>
      <w:r w:rsidR="00E74678" w:rsidRPr="005A25CE">
        <w:rPr>
          <w:rFonts w:asciiTheme="minorHAnsi" w:hAnsiTheme="minorHAnsi"/>
          <w:sz w:val="20"/>
          <w:szCs w:val="20"/>
        </w:rPr>
        <w:t xml:space="preserve">dni ukončení </w:t>
      </w:r>
      <w:r w:rsidRPr="005A25CE">
        <w:rPr>
          <w:rFonts w:asciiTheme="minorHAnsi" w:hAnsiTheme="minorHAnsi"/>
          <w:sz w:val="20"/>
          <w:szCs w:val="20"/>
        </w:rPr>
        <w:t xml:space="preserve">jejich </w:t>
      </w:r>
      <w:r w:rsidR="00E74678" w:rsidRPr="005A25CE">
        <w:rPr>
          <w:rFonts w:asciiTheme="minorHAnsi" w:hAnsiTheme="minorHAnsi"/>
          <w:sz w:val="20"/>
          <w:szCs w:val="20"/>
        </w:rPr>
        <w:t xml:space="preserve">pracovního poměru. </w:t>
      </w:r>
    </w:p>
    <w:p w:rsidR="00557634" w:rsidRPr="005A25CE" w:rsidRDefault="00E74678" w:rsidP="00557634">
      <w:pPr>
        <w:numPr>
          <w:ilvl w:val="0"/>
          <w:numId w:val="24"/>
        </w:numPr>
        <w:spacing w:before="60"/>
        <w:jc w:val="both"/>
        <w:rPr>
          <w:rFonts w:asciiTheme="minorHAnsi" w:hAnsiTheme="minorHAnsi"/>
          <w:sz w:val="20"/>
          <w:szCs w:val="20"/>
        </w:rPr>
      </w:pPr>
      <w:r w:rsidRPr="005A25CE">
        <w:rPr>
          <w:rFonts w:asciiTheme="minorHAnsi" w:hAnsiTheme="minorHAnsi"/>
          <w:sz w:val="20"/>
          <w:szCs w:val="20"/>
        </w:rPr>
        <w:t>Pojistník se zavazuje, že přílohu k pojistné smlouvě č. 1 (seznam pojištěných osob) bude aktualizovat podle přírůstku nebo úbytku pojištěných osob a pojistiteli průběžně zasílat.</w:t>
      </w:r>
    </w:p>
    <w:p w:rsidR="00E74678" w:rsidRPr="005A25CE" w:rsidRDefault="00E74678" w:rsidP="00557634">
      <w:pPr>
        <w:numPr>
          <w:ilvl w:val="0"/>
          <w:numId w:val="24"/>
        </w:numPr>
        <w:spacing w:before="60"/>
        <w:jc w:val="both"/>
        <w:rPr>
          <w:rFonts w:asciiTheme="minorHAnsi" w:hAnsiTheme="minorHAnsi"/>
          <w:sz w:val="20"/>
          <w:szCs w:val="20"/>
        </w:rPr>
      </w:pPr>
      <w:r w:rsidRPr="005A25CE">
        <w:rPr>
          <w:rFonts w:asciiTheme="minorHAnsi" w:hAnsiTheme="minorHAnsi"/>
          <w:sz w:val="20"/>
          <w:szCs w:val="20"/>
        </w:rPr>
        <w:lastRenderedPageBreak/>
        <w:t>Roční pojistné za každý pojistný rok je zálohovým pojistným, které pojistitel na základě skutečného počtu pojištěných osob zúčtuje a nejpozději do 2 měsíců od konce každého pojistného roku formou dodatku k pojistné smlouvě pojistníkovi předloží k odsouhlasení a podpisu.</w:t>
      </w:r>
      <w:r w:rsidR="00557634" w:rsidRPr="005A25CE">
        <w:rPr>
          <w:rFonts w:asciiTheme="minorHAnsi" w:hAnsiTheme="minorHAnsi"/>
          <w:sz w:val="20"/>
          <w:szCs w:val="20"/>
        </w:rPr>
        <w:t xml:space="preserve"> Pokud k uzavření tohoto dodatku nedojde, je pojistitel oprávněn provést zúčtování pojistného za uplynulý pojistný rok formou jednostranného vyúčtování.</w:t>
      </w:r>
    </w:p>
    <w:p w:rsidR="00E74678" w:rsidRPr="005A25CE" w:rsidRDefault="00E74678" w:rsidP="00557634">
      <w:pPr>
        <w:numPr>
          <w:ilvl w:val="0"/>
          <w:numId w:val="24"/>
        </w:numPr>
        <w:spacing w:before="60"/>
        <w:jc w:val="both"/>
        <w:rPr>
          <w:rFonts w:asciiTheme="minorHAnsi" w:hAnsiTheme="minorHAnsi"/>
          <w:sz w:val="20"/>
          <w:szCs w:val="20"/>
        </w:rPr>
      </w:pPr>
      <w:r w:rsidRPr="005A25CE">
        <w:rPr>
          <w:rFonts w:asciiTheme="minorHAnsi" w:hAnsiTheme="minorHAnsi"/>
          <w:sz w:val="20"/>
          <w:szCs w:val="20"/>
        </w:rPr>
        <w:t>Nebudou-li pojistiteli dodány podklady pro vypracování vyúčtovacího dodatku do 2 měsíců od konce každého pojistného roku, stanoví pojistitel roční pojistné na další pojistné období podle posledního klientem zaslaného stavu pojištěných osob.</w:t>
      </w:r>
    </w:p>
    <w:p w:rsidR="00E74678" w:rsidRPr="005A25CE" w:rsidRDefault="00E74678" w:rsidP="00557634">
      <w:pPr>
        <w:numPr>
          <w:ilvl w:val="0"/>
          <w:numId w:val="24"/>
        </w:numPr>
        <w:spacing w:before="60"/>
        <w:jc w:val="both"/>
        <w:rPr>
          <w:rFonts w:asciiTheme="minorHAnsi" w:hAnsiTheme="minorHAnsi"/>
          <w:sz w:val="20"/>
          <w:szCs w:val="20"/>
        </w:rPr>
      </w:pPr>
      <w:r w:rsidRPr="005A25CE">
        <w:rPr>
          <w:rFonts w:asciiTheme="minorHAnsi" w:hAnsiTheme="minorHAnsi"/>
          <w:sz w:val="20"/>
          <w:szCs w:val="20"/>
        </w:rPr>
        <w:t xml:space="preserve">Pokud </w:t>
      </w:r>
      <w:r w:rsidR="00416773" w:rsidRPr="005A25CE">
        <w:rPr>
          <w:rFonts w:asciiTheme="minorHAnsi" w:hAnsiTheme="minorHAnsi"/>
          <w:sz w:val="20"/>
          <w:szCs w:val="20"/>
        </w:rPr>
        <w:t>se počet pojištěných osob</w:t>
      </w:r>
      <w:r w:rsidRPr="005A25CE">
        <w:rPr>
          <w:rFonts w:asciiTheme="minorHAnsi" w:hAnsiTheme="minorHAnsi"/>
          <w:sz w:val="20"/>
          <w:szCs w:val="20"/>
        </w:rPr>
        <w:t xml:space="preserve"> pojistníka zvýší v průběhu pojistného roku o více než 50% stavu pojištěných osob, má pojistitel právo požadovat po pojistníkovi písemné sdělení o stavu zaměstnanců v jednotlivých kategoriích. Pojistník je povinen </w:t>
      </w:r>
      <w:r w:rsidR="00557634" w:rsidRPr="005A25CE">
        <w:rPr>
          <w:rFonts w:asciiTheme="minorHAnsi" w:hAnsiTheme="minorHAnsi"/>
          <w:sz w:val="20"/>
          <w:szCs w:val="20"/>
        </w:rPr>
        <w:t xml:space="preserve">pojistiteli tyto informace bez zbytečného odkladu poskytnout a </w:t>
      </w:r>
      <w:r w:rsidRPr="005A25CE">
        <w:rPr>
          <w:rFonts w:asciiTheme="minorHAnsi" w:hAnsiTheme="minorHAnsi"/>
          <w:sz w:val="20"/>
          <w:szCs w:val="20"/>
        </w:rPr>
        <w:t>zaplatit pojistiteli pojistné za všechny nové zaměstnance podle sazeb uvedených v příloze č. 1, a to za alikvotní dobu zbývající do konce pojistného roku.</w:t>
      </w:r>
    </w:p>
    <w:p w:rsidR="00D1245F" w:rsidRPr="005A25CE" w:rsidRDefault="00D1245F" w:rsidP="00D1245F">
      <w:pPr>
        <w:spacing w:before="360"/>
        <w:jc w:val="center"/>
        <w:rPr>
          <w:rFonts w:asciiTheme="minorHAnsi" w:hAnsiTheme="minorHAnsi"/>
          <w:b/>
          <w:sz w:val="20"/>
        </w:rPr>
      </w:pPr>
      <w:r w:rsidRPr="005A25CE">
        <w:rPr>
          <w:rFonts w:asciiTheme="minorHAnsi" w:hAnsiTheme="minorHAnsi"/>
          <w:b/>
          <w:sz w:val="20"/>
        </w:rPr>
        <w:t>Článek VII.</w:t>
      </w:r>
    </w:p>
    <w:p w:rsidR="00D1245F" w:rsidRPr="005A25CE" w:rsidRDefault="00D1245F" w:rsidP="00D1245F">
      <w:pPr>
        <w:jc w:val="center"/>
        <w:rPr>
          <w:rFonts w:asciiTheme="minorHAnsi" w:hAnsiTheme="minorHAnsi"/>
          <w:b/>
          <w:sz w:val="20"/>
          <w:u w:val="single"/>
        </w:rPr>
      </w:pPr>
      <w:r w:rsidRPr="005A25CE">
        <w:rPr>
          <w:rFonts w:asciiTheme="minorHAnsi" w:hAnsiTheme="minorHAnsi"/>
          <w:b/>
          <w:sz w:val="20"/>
          <w:u w:val="single"/>
        </w:rPr>
        <w:t>Závěrečná ustanovení</w:t>
      </w:r>
    </w:p>
    <w:p w:rsidR="00D1245F" w:rsidRPr="005A25CE" w:rsidRDefault="00D1245F" w:rsidP="00D1245F">
      <w:pPr>
        <w:jc w:val="center"/>
        <w:rPr>
          <w:rFonts w:asciiTheme="minorHAnsi" w:hAnsiTheme="minorHAnsi"/>
          <w:b/>
          <w:sz w:val="20"/>
          <w:u w:val="single"/>
        </w:rPr>
      </w:pPr>
    </w:p>
    <w:p w:rsidR="00D1245F" w:rsidRPr="005A25CE" w:rsidRDefault="00D1245F" w:rsidP="00D1245F">
      <w:pPr>
        <w:numPr>
          <w:ilvl w:val="0"/>
          <w:numId w:val="13"/>
        </w:numPr>
        <w:rPr>
          <w:rFonts w:asciiTheme="minorHAnsi" w:hAnsiTheme="minorHAnsi"/>
          <w:sz w:val="20"/>
          <w:szCs w:val="20"/>
        </w:rPr>
      </w:pPr>
      <w:r w:rsidRPr="005A25CE">
        <w:rPr>
          <w:rFonts w:asciiTheme="minorHAnsi" w:hAnsiTheme="minorHAnsi"/>
          <w:sz w:val="20"/>
          <w:szCs w:val="20"/>
        </w:rPr>
        <w:t>Pojistná doba</w:t>
      </w:r>
    </w:p>
    <w:p w:rsidR="00D1245F" w:rsidRPr="005A25CE" w:rsidRDefault="00D1245F" w:rsidP="00D1245F">
      <w:pPr>
        <w:ind w:firstLine="360"/>
        <w:rPr>
          <w:rFonts w:asciiTheme="minorHAnsi" w:hAnsiTheme="minorHAnsi"/>
          <w:sz w:val="20"/>
          <w:szCs w:val="20"/>
        </w:rPr>
      </w:pPr>
      <w:r w:rsidRPr="005A25CE">
        <w:rPr>
          <w:rFonts w:asciiTheme="minorHAnsi" w:hAnsiTheme="minorHAnsi"/>
          <w:sz w:val="20"/>
          <w:szCs w:val="20"/>
        </w:rPr>
        <w:t>Pojištění se sjednává na dobu jednoho roku.</w:t>
      </w:r>
    </w:p>
    <w:p w:rsidR="00D1245F" w:rsidRPr="005A25CE" w:rsidRDefault="00D1245F" w:rsidP="00D1245F">
      <w:pPr>
        <w:ind w:firstLine="360"/>
        <w:rPr>
          <w:rFonts w:asciiTheme="minorHAnsi" w:hAnsiTheme="minorHAnsi"/>
          <w:sz w:val="20"/>
          <w:szCs w:val="20"/>
        </w:rPr>
      </w:pPr>
      <w:r w:rsidRPr="005A25CE">
        <w:rPr>
          <w:rFonts w:asciiTheme="minorHAnsi" w:hAnsiTheme="minorHAnsi"/>
          <w:sz w:val="20"/>
          <w:szCs w:val="20"/>
        </w:rPr>
        <w:t xml:space="preserve">Pojištění vzniká dne: ……………. </w:t>
      </w:r>
    </w:p>
    <w:p w:rsidR="00D1245F" w:rsidRPr="005A25CE" w:rsidRDefault="00D1245F" w:rsidP="00D1245F">
      <w:pPr>
        <w:ind w:firstLine="360"/>
        <w:rPr>
          <w:rFonts w:asciiTheme="minorHAnsi" w:hAnsiTheme="minorHAnsi"/>
          <w:sz w:val="20"/>
          <w:szCs w:val="20"/>
        </w:rPr>
      </w:pPr>
      <w:r w:rsidRPr="005A25CE">
        <w:rPr>
          <w:rFonts w:asciiTheme="minorHAnsi" w:hAnsiTheme="minorHAnsi"/>
          <w:sz w:val="20"/>
          <w:szCs w:val="20"/>
        </w:rPr>
        <w:t>Pojištění se sjednává do: ……………</w:t>
      </w:r>
    </w:p>
    <w:p w:rsidR="00CE7D12" w:rsidRPr="005A25CE" w:rsidRDefault="00CE7D12" w:rsidP="00CE7D12">
      <w:pPr>
        <w:pStyle w:val="Odstavecseseznamem"/>
        <w:spacing w:before="120"/>
        <w:ind w:left="360"/>
        <w:jc w:val="both"/>
        <w:rPr>
          <w:rFonts w:asciiTheme="minorHAnsi" w:hAnsiTheme="minorHAnsi"/>
          <w:sz w:val="20"/>
          <w:szCs w:val="20"/>
        </w:rPr>
      </w:pPr>
      <w:r w:rsidRPr="005A25CE">
        <w:rPr>
          <w:rFonts w:asciiTheme="minorHAnsi" w:hAnsiTheme="minorHAnsi"/>
          <w:sz w:val="20"/>
          <w:szCs w:val="20"/>
        </w:rPr>
        <w:t>Pojištění se prodlužuje vždy na další rok, pokud pojistník nebo pojistitel nesdělí písemně druhému účastníku smlouvy, nejméně 6 týdnů před uplynutím pojistného roku, že na dalším pojištění nemá zájem.</w:t>
      </w:r>
    </w:p>
    <w:p w:rsidR="00D1245F" w:rsidRPr="005A25CE" w:rsidRDefault="00D1245F" w:rsidP="00631587">
      <w:pPr>
        <w:numPr>
          <w:ilvl w:val="0"/>
          <w:numId w:val="13"/>
        </w:numPr>
        <w:spacing w:before="120"/>
        <w:jc w:val="both"/>
        <w:rPr>
          <w:rFonts w:asciiTheme="minorHAnsi" w:hAnsiTheme="minorHAnsi"/>
          <w:sz w:val="20"/>
        </w:rPr>
      </w:pPr>
      <w:r w:rsidRPr="005A25CE">
        <w:rPr>
          <w:rFonts w:asciiTheme="minorHAnsi" w:hAnsiTheme="minorHAnsi"/>
          <w:sz w:val="20"/>
        </w:rPr>
        <w:t>Právní vztahy vzniklé z pojištění dle této pojistné smlouvy se řídí českými právními předpisy a případné spory z těchto právních vztah</w:t>
      </w:r>
      <w:r w:rsidR="00631587" w:rsidRPr="005A25CE">
        <w:rPr>
          <w:rFonts w:asciiTheme="minorHAnsi" w:hAnsiTheme="minorHAnsi"/>
          <w:sz w:val="20"/>
        </w:rPr>
        <w:t>ů vzniklé rozhodují české soudy.</w:t>
      </w:r>
    </w:p>
    <w:p w:rsidR="00631587" w:rsidRPr="005A25CE" w:rsidRDefault="00631587" w:rsidP="00631587">
      <w:pPr>
        <w:numPr>
          <w:ilvl w:val="0"/>
          <w:numId w:val="13"/>
        </w:numPr>
        <w:tabs>
          <w:tab w:val="left" w:pos="-720"/>
        </w:tabs>
        <w:spacing w:before="120"/>
        <w:jc w:val="both"/>
        <w:rPr>
          <w:rFonts w:asciiTheme="minorHAnsi" w:hAnsiTheme="minorHAnsi"/>
          <w:sz w:val="20"/>
        </w:rPr>
      </w:pPr>
      <w:r w:rsidRPr="005A25CE">
        <w:rPr>
          <w:rFonts w:asciiTheme="minorHAnsi" w:hAnsiTheme="minorHAnsi"/>
          <w:sz w:val="20"/>
        </w:rPr>
        <w:t>Makléřská doložka</w:t>
      </w:r>
    </w:p>
    <w:p w:rsidR="00D1245F" w:rsidRPr="005A25CE" w:rsidRDefault="00631587" w:rsidP="00631587">
      <w:pPr>
        <w:numPr>
          <w:ilvl w:val="12"/>
          <w:numId w:val="0"/>
        </w:numPr>
        <w:tabs>
          <w:tab w:val="left" w:pos="-720"/>
        </w:tabs>
        <w:ind w:left="360"/>
        <w:jc w:val="both"/>
        <w:rPr>
          <w:rFonts w:asciiTheme="minorHAnsi" w:hAnsiTheme="minorHAnsi"/>
          <w:sz w:val="20"/>
        </w:rPr>
      </w:pPr>
      <w:r w:rsidRPr="005A25CE">
        <w:rPr>
          <w:rFonts w:asciiTheme="minorHAnsi" w:hAnsiTheme="minorHAnsi"/>
          <w:sz w:val="20"/>
        </w:rPr>
        <w:t>Pojistník pověřil pojišťovacího makléře SATUM CZECH s.r.o., IČ: 25373951 vedením (řízením) a zpracováním jeho pojistného zájmu. Obchodní styk, který se bude týkat této pojistné smlo</w:t>
      </w:r>
      <w:r w:rsidRPr="005A25CE">
        <w:rPr>
          <w:rFonts w:asciiTheme="minorHAnsi" w:hAnsiTheme="minorHAnsi"/>
          <w:sz w:val="20"/>
        </w:rPr>
        <w:softHyphen/>
        <w:t>uvy, bude prováděn výhradně prostřednictvím tohoto makléře, který je oprávněn přijímat a předávat smluvně závazná oznámení, prohlášení a rozhodnutí smluvních stran partnerů. Kopie plné moci nebo smlouvy o spolupráci pojišťovacího makléře je přílohou č. 4 této pojistné smlouvy</w:t>
      </w:r>
      <w:r w:rsidR="00D1245F" w:rsidRPr="005A25CE">
        <w:rPr>
          <w:rFonts w:asciiTheme="minorHAnsi" w:hAnsiTheme="minorHAnsi"/>
          <w:sz w:val="20"/>
        </w:rPr>
        <w:t xml:space="preserve">. </w:t>
      </w:r>
    </w:p>
    <w:p w:rsidR="000A55D1" w:rsidRPr="005A25CE" w:rsidRDefault="000A55D1" w:rsidP="000A55D1">
      <w:pPr>
        <w:numPr>
          <w:ilvl w:val="0"/>
          <w:numId w:val="13"/>
        </w:numPr>
        <w:tabs>
          <w:tab w:val="left" w:pos="-720"/>
        </w:tabs>
        <w:spacing w:before="120"/>
        <w:jc w:val="both"/>
        <w:rPr>
          <w:rFonts w:asciiTheme="minorHAnsi" w:hAnsiTheme="minorHAnsi"/>
          <w:sz w:val="20"/>
        </w:rPr>
      </w:pPr>
      <w:r w:rsidRPr="005A25CE">
        <w:rPr>
          <w:rFonts w:asciiTheme="minorHAnsi" w:hAnsiTheme="minorHAnsi"/>
          <w:sz w:val="20"/>
        </w:rPr>
        <w:t>Pojistná smlouva byla vypracována ve</w:t>
      </w:r>
      <w:r w:rsidR="00631587" w:rsidRPr="005A25CE">
        <w:rPr>
          <w:rFonts w:asciiTheme="minorHAnsi" w:hAnsiTheme="minorHAnsi"/>
          <w:sz w:val="20"/>
        </w:rPr>
        <w:t xml:space="preserve"> </w:t>
      </w:r>
      <w:r w:rsidRPr="005A25CE">
        <w:rPr>
          <w:rFonts w:asciiTheme="minorHAnsi" w:hAnsiTheme="minorHAnsi"/>
          <w:sz w:val="20"/>
        </w:rPr>
        <w:t>3 stejnopisech, pojistník obdrží 1 vyhotovení</w:t>
      </w:r>
      <w:r w:rsidR="00631587" w:rsidRPr="005A25CE">
        <w:rPr>
          <w:rFonts w:asciiTheme="minorHAnsi" w:hAnsiTheme="minorHAnsi"/>
          <w:sz w:val="20"/>
        </w:rPr>
        <w:t xml:space="preserve">, </w:t>
      </w:r>
      <w:r w:rsidRPr="005A25CE">
        <w:rPr>
          <w:rFonts w:asciiTheme="minorHAnsi" w:hAnsiTheme="minorHAnsi"/>
          <w:i/>
          <w:sz w:val="20"/>
        </w:rPr>
        <w:t xml:space="preserve"> </w:t>
      </w:r>
      <w:r w:rsidRPr="005A25CE">
        <w:rPr>
          <w:rFonts w:asciiTheme="minorHAnsi" w:hAnsiTheme="minorHAnsi"/>
          <w:sz w:val="20"/>
        </w:rPr>
        <w:t>pojišťovací makléř obdrží 1 vyhotovení a pojistitel si ponechá 1 vyhotovení. Tato pojistná smlouva obsahuje ......... stran a ......... přílohy.</w:t>
      </w:r>
    </w:p>
    <w:p w:rsidR="00D1245F" w:rsidRPr="005A25CE" w:rsidRDefault="00D1245F" w:rsidP="00D1245F">
      <w:pPr>
        <w:numPr>
          <w:ilvl w:val="0"/>
          <w:numId w:val="13"/>
        </w:numPr>
        <w:tabs>
          <w:tab w:val="left" w:pos="-720"/>
        </w:tabs>
        <w:spacing w:before="120"/>
        <w:jc w:val="both"/>
        <w:rPr>
          <w:rFonts w:asciiTheme="minorHAnsi" w:hAnsiTheme="minorHAnsi"/>
          <w:sz w:val="20"/>
        </w:rPr>
      </w:pPr>
      <w:r w:rsidRPr="005A25CE">
        <w:rPr>
          <w:rFonts w:asciiTheme="minorHAnsi" w:hAnsiTheme="minorHAnsi"/>
          <w:sz w:val="20"/>
        </w:rPr>
        <w:t>Součástí pojistné smlouvy jsou příslušné pojistné podmínky uvedené v pojistné smlouvě a Přehled poplatků. Aktuální podoba Přehledu poplatků je k dispozici na webových stránkách pojistitele.</w:t>
      </w:r>
    </w:p>
    <w:p w:rsidR="00D1245F" w:rsidRPr="005A25CE" w:rsidRDefault="00D1245F" w:rsidP="00D1245F">
      <w:pPr>
        <w:numPr>
          <w:ilvl w:val="0"/>
          <w:numId w:val="13"/>
        </w:numPr>
        <w:tabs>
          <w:tab w:val="left" w:pos="-720"/>
        </w:tabs>
        <w:spacing w:before="120"/>
        <w:jc w:val="both"/>
        <w:rPr>
          <w:rFonts w:asciiTheme="minorHAnsi" w:hAnsiTheme="minorHAnsi"/>
          <w:sz w:val="20"/>
        </w:rPr>
      </w:pPr>
      <w:r w:rsidRPr="005A25CE">
        <w:rPr>
          <w:rFonts w:asciiTheme="minorHAnsi" w:hAnsiTheme="minorHAnsi"/>
          <w:sz w:val="20"/>
        </w:rPr>
        <w:t>Pojistník potvrzuje, že před uzavřením pojistné smlouvy převzal v listinné nebo, s jeho souhlasem, v jiné textové podobě (na trvalém nosiči dat) veškeré součásti pojistné smlouvy a seznámil se s nimi.</w:t>
      </w:r>
    </w:p>
    <w:p w:rsidR="00D1245F" w:rsidRPr="005A25CE" w:rsidRDefault="00D1245F" w:rsidP="00D1245F">
      <w:pPr>
        <w:numPr>
          <w:ilvl w:val="0"/>
          <w:numId w:val="13"/>
        </w:numPr>
        <w:tabs>
          <w:tab w:val="left" w:pos="-720"/>
        </w:tabs>
        <w:spacing w:before="120"/>
        <w:jc w:val="both"/>
        <w:rPr>
          <w:rFonts w:asciiTheme="minorHAnsi" w:hAnsiTheme="minorHAnsi"/>
          <w:sz w:val="20"/>
        </w:rPr>
      </w:pPr>
      <w:r w:rsidRPr="005A25CE">
        <w:rPr>
          <w:rFonts w:asciiTheme="minorHAnsi" w:hAnsiTheme="minorHAnsi"/>
          <w:sz w:val="20"/>
        </w:rP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D1245F" w:rsidRPr="005A25CE" w:rsidRDefault="00D1245F" w:rsidP="00D1245F">
      <w:pPr>
        <w:numPr>
          <w:ilvl w:val="0"/>
          <w:numId w:val="13"/>
        </w:numPr>
        <w:tabs>
          <w:tab w:val="left" w:pos="-720"/>
        </w:tabs>
        <w:spacing w:before="120"/>
        <w:jc w:val="both"/>
        <w:rPr>
          <w:rFonts w:asciiTheme="minorHAnsi" w:hAnsiTheme="minorHAnsi"/>
          <w:sz w:val="20"/>
        </w:rPr>
      </w:pPr>
      <w:r w:rsidRPr="005A25CE">
        <w:rPr>
          <w:rFonts w:asciiTheme="minorHAnsi" w:hAnsiTheme="minorHAnsi"/>
          <w:sz w:val="20"/>
        </w:rPr>
        <w:t>Pojistník prohlašuje, že má pojistný zájem na pojištění pojištěného, pokud je osobou od něj odlišnou a je schopen to kdykoliv prokázat.</w:t>
      </w:r>
    </w:p>
    <w:p w:rsidR="00D1245F" w:rsidRPr="005A25CE" w:rsidRDefault="00D1245F" w:rsidP="00D1245F">
      <w:pPr>
        <w:numPr>
          <w:ilvl w:val="0"/>
          <w:numId w:val="13"/>
        </w:numPr>
        <w:tabs>
          <w:tab w:val="left" w:pos="-720"/>
        </w:tabs>
        <w:spacing w:before="120"/>
        <w:jc w:val="both"/>
        <w:rPr>
          <w:rFonts w:asciiTheme="minorHAnsi" w:hAnsiTheme="minorHAnsi"/>
          <w:sz w:val="20"/>
        </w:rPr>
      </w:pPr>
      <w:r w:rsidRPr="005A25CE">
        <w:rPr>
          <w:rFonts w:asciiTheme="minorHAnsi" w:hAnsiTheme="minorHAnsi"/>
          <w:sz w:val="20"/>
        </w:rP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p w:rsidR="00D1245F" w:rsidRPr="005A25CE" w:rsidRDefault="00D1245F" w:rsidP="00D1245F">
      <w:pPr>
        <w:numPr>
          <w:ilvl w:val="0"/>
          <w:numId w:val="13"/>
        </w:numPr>
        <w:tabs>
          <w:tab w:val="left" w:pos="-720"/>
        </w:tabs>
        <w:spacing w:before="120"/>
        <w:jc w:val="both"/>
        <w:rPr>
          <w:rFonts w:asciiTheme="minorHAnsi" w:hAnsiTheme="minorHAnsi"/>
          <w:sz w:val="20"/>
        </w:rPr>
      </w:pPr>
      <w:r w:rsidRPr="005A25CE">
        <w:rPr>
          <w:rFonts w:asciiTheme="minorHAnsi" w:hAnsiTheme="minorHAnsi"/>
          <w:sz w:val="20"/>
        </w:rPr>
        <w:t>Pojistník souhlasí, aby pojistitel zpracovával a předával jeho osobní údaje členům pojišťovací skupiny Vienna Insurance Group (dále jen spřízněné osoby), v souladu s ust. §5, odst. 5 a §9, písm. a) zákona č. 101/2000 Sb., o ochraně osobních údajů a o změně některých zákonů, v platném znění. Pojistník dále souhlasí, aby pojistitel i spřízněné osoby používali jeho osobní údaje, včetně kontaktů pro elektronickou komunikaci, za účelem zasílání svých obchodních a reklamních sdělení a nabídky služeb.</w:t>
      </w:r>
    </w:p>
    <w:p w:rsidR="00D1245F" w:rsidRPr="005A25CE" w:rsidRDefault="00D1245F" w:rsidP="00D1245F">
      <w:pPr>
        <w:numPr>
          <w:ilvl w:val="0"/>
          <w:numId w:val="13"/>
        </w:numPr>
        <w:tabs>
          <w:tab w:val="left" w:pos="-720"/>
        </w:tabs>
        <w:spacing w:before="120"/>
        <w:jc w:val="both"/>
        <w:rPr>
          <w:rFonts w:asciiTheme="minorHAnsi" w:hAnsiTheme="minorHAnsi"/>
          <w:sz w:val="20"/>
        </w:rPr>
      </w:pPr>
      <w:r w:rsidRPr="005A25CE">
        <w:rPr>
          <w:rFonts w:asciiTheme="minorHAnsi" w:hAnsiTheme="minorHAnsi"/>
          <w:sz w:val="20"/>
        </w:rPr>
        <w:lastRenderedPageBreak/>
        <w:t>Přílohy pojistné smlouvy:</w:t>
      </w:r>
    </w:p>
    <w:p w:rsidR="00F367B0" w:rsidRPr="005A25CE" w:rsidRDefault="00FE1752" w:rsidP="00F367B0">
      <w:pPr>
        <w:numPr>
          <w:ilvl w:val="0"/>
          <w:numId w:val="26"/>
        </w:numPr>
        <w:tabs>
          <w:tab w:val="left" w:pos="993"/>
        </w:tabs>
        <w:spacing w:before="120"/>
        <w:ind w:left="993" w:hanging="426"/>
        <w:jc w:val="both"/>
        <w:rPr>
          <w:rFonts w:asciiTheme="minorHAnsi" w:hAnsiTheme="minorHAnsi"/>
          <w:sz w:val="20"/>
        </w:rPr>
      </w:pPr>
      <w:r w:rsidRPr="005A25CE">
        <w:rPr>
          <w:rFonts w:asciiTheme="minorHAnsi" w:hAnsiTheme="minorHAnsi"/>
          <w:sz w:val="20"/>
        </w:rPr>
        <w:t xml:space="preserve">seznam </w:t>
      </w:r>
      <w:r w:rsidR="00CE7D12" w:rsidRPr="005A25CE">
        <w:rPr>
          <w:rFonts w:asciiTheme="minorHAnsi" w:hAnsiTheme="minorHAnsi"/>
          <w:sz w:val="20"/>
        </w:rPr>
        <w:t>pojištěných</w:t>
      </w:r>
      <w:r w:rsidR="00CE2412" w:rsidRPr="005A25CE">
        <w:rPr>
          <w:rFonts w:asciiTheme="minorHAnsi" w:hAnsiTheme="minorHAnsi"/>
          <w:sz w:val="20"/>
        </w:rPr>
        <w:t xml:space="preserve"> osob</w:t>
      </w:r>
    </w:p>
    <w:p w:rsidR="00EA5D8A" w:rsidRPr="005A25CE" w:rsidRDefault="00CE7D12" w:rsidP="00F367B0">
      <w:pPr>
        <w:numPr>
          <w:ilvl w:val="0"/>
          <w:numId w:val="26"/>
        </w:numPr>
        <w:tabs>
          <w:tab w:val="left" w:pos="993"/>
        </w:tabs>
        <w:spacing w:before="120"/>
        <w:ind w:left="993" w:hanging="426"/>
        <w:jc w:val="both"/>
        <w:rPr>
          <w:rFonts w:asciiTheme="minorHAnsi" w:hAnsiTheme="minorHAnsi"/>
          <w:sz w:val="20"/>
        </w:rPr>
      </w:pPr>
      <w:r w:rsidRPr="005A25CE">
        <w:rPr>
          <w:rFonts w:asciiTheme="minorHAnsi" w:hAnsiTheme="minorHAnsi"/>
          <w:sz w:val="20"/>
        </w:rPr>
        <w:t xml:space="preserve">smluvní </w:t>
      </w:r>
      <w:r w:rsidR="00EA5D8A" w:rsidRPr="005A25CE">
        <w:rPr>
          <w:rFonts w:asciiTheme="minorHAnsi" w:hAnsiTheme="minorHAnsi"/>
          <w:sz w:val="20"/>
        </w:rPr>
        <w:t>rozsah a podmínky pojištění</w:t>
      </w:r>
    </w:p>
    <w:p w:rsidR="00F367B0" w:rsidRPr="005A25CE" w:rsidRDefault="00F367B0" w:rsidP="00F367B0">
      <w:pPr>
        <w:numPr>
          <w:ilvl w:val="0"/>
          <w:numId w:val="26"/>
        </w:numPr>
        <w:tabs>
          <w:tab w:val="left" w:pos="993"/>
        </w:tabs>
        <w:ind w:left="993" w:hanging="426"/>
        <w:jc w:val="both"/>
        <w:rPr>
          <w:rFonts w:asciiTheme="minorHAnsi" w:hAnsiTheme="minorHAnsi"/>
          <w:sz w:val="20"/>
        </w:rPr>
      </w:pPr>
      <w:r w:rsidRPr="005A25CE">
        <w:rPr>
          <w:rFonts w:asciiTheme="minorHAnsi" w:hAnsiTheme="minorHAnsi"/>
          <w:sz w:val="20"/>
        </w:rPr>
        <w:t>Kopie listiny dokládající předmět pod</w:t>
      </w:r>
      <w:r w:rsidR="00416773" w:rsidRPr="005A25CE">
        <w:rPr>
          <w:rFonts w:asciiTheme="minorHAnsi" w:hAnsiTheme="minorHAnsi"/>
          <w:sz w:val="20"/>
        </w:rPr>
        <w:t>nikání nebo činnosti pojistníka</w:t>
      </w:r>
    </w:p>
    <w:p w:rsidR="00F367B0" w:rsidRPr="005A25CE" w:rsidRDefault="00F367B0" w:rsidP="00F367B0">
      <w:pPr>
        <w:numPr>
          <w:ilvl w:val="0"/>
          <w:numId w:val="26"/>
        </w:numPr>
        <w:tabs>
          <w:tab w:val="left" w:pos="993"/>
        </w:tabs>
        <w:ind w:left="993" w:hanging="426"/>
        <w:jc w:val="both"/>
        <w:rPr>
          <w:rFonts w:asciiTheme="minorHAnsi" w:hAnsiTheme="minorHAnsi"/>
          <w:sz w:val="20"/>
        </w:rPr>
      </w:pPr>
      <w:r w:rsidRPr="005A25CE">
        <w:rPr>
          <w:rFonts w:asciiTheme="minorHAnsi" w:hAnsiTheme="minorHAnsi"/>
          <w:sz w:val="20"/>
        </w:rPr>
        <w:t>VPP a DPP dle textu pojistné smlouvy</w:t>
      </w:r>
    </w:p>
    <w:p w:rsidR="00D1245F" w:rsidRPr="005A25CE" w:rsidRDefault="00D1245F" w:rsidP="00EA5D8A">
      <w:pPr>
        <w:tabs>
          <w:tab w:val="left" w:pos="993"/>
        </w:tabs>
        <w:ind w:left="993"/>
        <w:jc w:val="both"/>
        <w:rPr>
          <w:rFonts w:asciiTheme="minorHAnsi" w:hAnsiTheme="minorHAnsi"/>
          <w:sz w:val="20"/>
        </w:rPr>
      </w:pPr>
    </w:p>
    <w:tbl>
      <w:tblPr>
        <w:tblW w:w="9900" w:type="dxa"/>
        <w:tblInd w:w="70" w:type="dxa"/>
        <w:tblCellMar>
          <w:left w:w="70" w:type="dxa"/>
          <w:right w:w="70" w:type="dxa"/>
        </w:tblCellMar>
        <w:tblLook w:val="0000" w:firstRow="0" w:lastRow="0" w:firstColumn="0" w:lastColumn="0" w:noHBand="0" w:noVBand="0"/>
      </w:tblPr>
      <w:tblGrid>
        <w:gridCol w:w="2520"/>
        <w:gridCol w:w="1440"/>
        <w:gridCol w:w="720"/>
        <w:gridCol w:w="2700"/>
        <w:gridCol w:w="2520"/>
      </w:tblGrid>
      <w:tr w:rsidR="005A25CE" w:rsidRPr="005A25CE" w:rsidTr="00C02791">
        <w:trPr>
          <w:cantSplit/>
        </w:trPr>
        <w:tc>
          <w:tcPr>
            <w:tcW w:w="25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z w:val="20"/>
                <w:szCs w:val="20"/>
              </w:rPr>
            </w:pPr>
            <w:r w:rsidRPr="005A25CE">
              <w:rPr>
                <w:rFonts w:asciiTheme="minorHAnsi" w:hAnsiTheme="minorHAnsi"/>
                <w:sz w:val="20"/>
                <w:szCs w:val="20"/>
              </w:rPr>
              <w:t>V Praze dne</w:t>
            </w:r>
          </w:p>
        </w:tc>
        <w:tc>
          <w:tcPr>
            <w:tcW w:w="144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pacing w:val="-2"/>
                <w:sz w:val="20"/>
                <w:szCs w:val="20"/>
              </w:rPr>
            </w:pPr>
          </w:p>
        </w:tc>
        <w:tc>
          <w:tcPr>
            <w:tcW w:w="7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pacing w:val="-2"/>
                <w:sz w:val="20"/>
                <w:szCs w:val="20"/>
              </w:rPr>
            </w:pPr>
          </w:p>
        </w:tc>
        <w:tc>
          <w:tcPr>
            <w:tcW w:w="5220" w:type="dxa"/>
            <w:gridSpan w:val="2"/>
            <w:tcBorders>
              <w:bottom w:val="single" w:sz="4" w:space="0" w:color="BFBFBF" w:themeColor="background1" w:themeShade="BF"/>
            </w:tcBorders>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z w:val="20"/>
                <w:szCs w:val="20"/>
              </w:rPr>
            </w:pPr>
          </w:p>
        </w:tc>
      </w:tr>
      <w:tr w:rsidR="005A25CE" w:rsidRPr="005A25CE" w:rsidTr="00C02791">
        <w:trPr>
          <w:cantSplit/>
        </w:trPr>
        <w:tc>
          <w:tcPr>
            <w:tcW w:w="25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top w:val="single" w:sz="4" w:space="0" w:color="BFBFBF" w:themeColor="background1" w:themeShade="BF"/>
            </w:tcBorders>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5A25CE">
              <w:rPr>
                <w:rFonts w:asciiTheme="minorHAnsi" w:hAnsiTheme="minorHAnsi"/>
                <w:sz w:val="20"/>
                <w:szCs w:val="20"/>
              </w:rPr>
              <w:t>Česká podnikatelská pojišťovna, a.s., Vienna Insurance Group</w:t>
            </w:r>
          </w:p>
        </w:tc>
      </w:tr>
      <w:tr w:rsidR="005A25CE" w:rsidRPr="005A25CE" w:rsidTr="00C02791">
        <w:trPr>
          <w:cantSplit/>
          <w:trHeight w:val="570"/>
        </w:trPr>
        <w:tc>
          <w:tcPr>
            <w:tcW w:w="2520" w:type="dxa"/>
            <w:vMerge w:val="restart"/>
          </w:tcPr>
          <w:p w:rsidR="00D1245F" w:rsidRPr="005A25CE" w:rsidRDefault="00D1245F" w:rsidP="00C02791">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val="restart"/>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val="restart"/>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5A25CE" w:rsidRPr="005A25CE" w:rsidTr="00C02791">
        <w:trPr>
          <w:cantSplit/>
          <w:trHeight w:val="384"/>
        </w:trPr>
        <w:tc>
          <w:tcPr>
            <w:tcW w:w="2520" w:type="dxa"/>
            <w:vMerge/>
          </w:tcPr>
          <w:p w:rsidR="00D1245F" w:rsidRPr="005A25CE" w:rsidRDefault="00D1245F" w:rsidP="00C02791">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rsidR="00D1245F" w:rsidRPr="005A25CE" w:rsidRDefault="00631587" w:rsidP="00631587">
            <w:pPr>
              <w:tabs>
                <w:tab w:val="left" w:pos="4820"/>
              </w:tabs>
              <w:ind w:left="142" w:hanging="142"/>
              <w:rPr>
                <w:rFonts w:asciiTheme="minorHAnsi" w:hAnsiTheme="minorHAnsi"/>
                <w:sz w:val="20"/>
              </w:rPr>
            </w:pPr>
            <w:r w:rsidRPr="005A25CE">
              <w:rPr>
                <w:rFonts w:asciiTheme="minorHAnsi" w:hAnsiTheme="minorHAnsi"/>
                <w:i/>
                <w:sz w:val="20"/>
              </w:rPr>
              <w:t xml:space="preserve">              </w:t>
            </w:r>
            <w:r w:rsidR="00D1245F" w:rsidRPr="005A25CE">
              <w:rPr>
                <w:rFonts w:asciiTheme="minorHAnsi" w:hAnsiTheme="minorHAnsi"/>
                <w:sz w:val="20"/>
              </w:rPr>
              <w:t xml:space="preserve"> jméno příjmení</w:t>
            </w:r>
          </w:p>
          <w:p w:rsidR="00D1245F" w:rsidRPr="005A25CE" w:rsidRDefault="00D1245F" w:rsidP="00C02791">
            <w:pPr>
              <w:tabs>
                <w:tab w:val="left" w:pos="4820"/>
              </w:tabs>
              <w:ind w:left="142" w:hanging="142"/>
              <w:jc w:val="center"/>
              <w:rPr>
                <w:rFonts w:asciiTheme="minorHAnsi" w:hAnsiTheme="minorHAnsi"/>
                <w:sz w:val="20"/>
              </w:rPr>
            </w:pPr>
            <w:r w:rsidRPr="005A25CE">
              <w:rPr>
                <w:rFonts w:asciiTheme="minorHAnsi" w:hAnsiTheme="minorHAnsi"/>
                <w:sz w:val="20"/>
              </w:rPr>
              <w:t>funkce</w:t>
            </w:r>
          </w:p>
        </w:tc>
        <w:tc>
          <w:tcPr>
            <w:tcW w:w="2520" w:type="dxa"/>
          </w:tcPr>
          <w:p w:rsidR="00D1245F" w:rsidRPr="005A25CE" w:rsidRDefault="00D1245F" w:rsidP="00C02791">
            <w:pPr>
              <w:tabs>
                <w:tab w:val="left" w:pos="4820"/>
              </w:tabs>
              <w:ind w:left="142" w:hanging="142"/>
              <w:jc w:val="center"/>
              <w:rPr>
                <w:rFonts w:asciiTheme="minorHAnsi" w:hAnsiTheme="minorHAnsi"/>
                <w:sz w:val="20"/>
              </w:rPr>
            </w:pPr>
            <w:r w:rsidRPr="005A25CE">
              <w:rPr>
                <w:rFonts w:asciiTheme="minorHAnsi" w:hAnsiTheme="minorHAnsi"/>
                <w:sz w:val="20"/>
              </w:rPr>
              <w:t>jméno příjmení</w:t>
            </w:r>
          </w:p>
          <w:p w:rsidR="00D1245F" w:rsidRPr="005A25CE" w:rsidRDefault="00D1245F" w:rsidP="00C02791">
            <w:pPr>
              <w:tabs>
                <w:tab w:val="left" w:pos="4820"/>
              </w:tabs>
              <w:ind w:left="142" w:hanging="142"/>
              <w:jc w:val="center"/>
              <w:rPr>
                <w:rFonts w:asciiTheme="minorHAnsi" w:hAnsiTheme="minorHAnsi"/>
                <w:b/>
                <w:sz w:val="20"/>
              </w:rPr>
            </w:pPr>
            <w:r w:rsidRPr="005A25CE">
              <w:rPr>
                <w:rFonts w:asciiTheme="minorHAnsi" w:hAnsiTheme="minorHAnsi"/>
                <w:sz w:val="20"/>
              </w:rPr>
              <w:t>funkce</w:t>
            </w:r>
          </w:p>
        </w:tc>
      </w:tr>
      <w:tr w:rsidR="005A25CE" w:rsidRPr="005A25CE" w:rsidTr="00C02791">
        <w:trPr>
          <w:cantSplit/>
          <w:trHeight w:val="384"/>
        </w:trPr>
        <w:tc>
          <w:tcPr>
            <w:tcW w:w="2520" w:type="dxa"/>
            <w:vMerge/>
          </w:tcPr>
          <w:p w:rsidR="00D1245F" w:rsidRPr="005A25CE" w:rsidRDefault="00D1245F" w:rsidP="00C02791">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5A25CE" w:rsidRPr="005A25CE" w:rsidTr="00C02791">
        <w:trPr>
          <w:cantSplit/>
          <w:trHeight w:val="384"/>
        </w:trPr>
        <w:tc>
          <w:tcPr>
            <w:tcW w:w="2520" w:type="dxa"/>
            <w:vMerge/>
          </w:tcPr>
          <w:p w:rsidR="00D1245F" w:rsidRPr="005A25CE" w:rsidRDefault="00D1245F" w:rsidP="00C02791">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5A25CE" w:rsidRPr="005A25CE" w:rsidTr="00C02791">
        <w:trPr>
          <w:cantSplit/>
        </w:trPr>
        <w:tc>
          <w:tcPr>
            <w:tcW w:w="25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5A25CE">
              <w:rPr>
                <w:rFonts w:asciiTheme="minorHAnsi" w:hAnsiTheme="minorHAnsi"/>
                <w:sz w:val="20"/>
                <w:szCs w:val="20"/>
              </w:rPr>
              <w:t>V Praze dne</w:t>
            </w:r>
          </w:p>
        </w:tc>
        <w:tc>
          <w:tcPr>
            <w:tcW w:w="144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2"/>
            <w:tcBorders>
              <w:bottom w:val="single" w:sz="4" w:space="0" w:color="BFBFBF" w:themeColor="background1" w:themeShade="BF"/>
            </w:tcBorders>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5A25CE" w:rsidRPr="005A25CE" w:rsidTr="00C02791">
        <w:trPr>
          <w:cantSplit/>
        </w:trPr>
        <w:tc>
          <w:tcPr>
            <w:tcW w:w="25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p>
        </w:tc>
        <w:tc>
          <w:tcPr>
            <w:tcW w:w="720" w:type="dxa"/>
          </w:tcPr>
          <w:p w:rsidR="00D1245F" w:rsidRPr="005A25CE" w:rsidRDefault="00D1245F" w:rsidP="00C02791">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5220" w:type="dxa"/>
            <w:gridSpan w:val="2"/>
            <w:tcBorders>
              <w:top w:val="single" w:sz="4" w:space="0" w:color="BFBFBF" w:themeColor="background1" w:themeShade="BF"/>
            </w:tcBorders>
          </w:tcPr>
          <w:p w:rsidR="00D1245F" w:rsidRPr="005A25CE" w:rsidRDefault="0042665D" w:rsidP="00C02791">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5A25CE">
              <w:rPr>
                <w:rFonts w:asciiTheme="minorHAnsi" w:hAnsiTheme="minorHAnsi"/>
                <w:sz w:val="20"/>
                <w:szCs w:val="20"/>
              </w:rPr>
              <w:t>ZO OS</w:t>
            </w:r>
          </w:p>
        </w:tc>
      </w:tr>
    </w:tbl>
    <w:p w:rsidR="00D1245F" w:rsidRPr="005A25CE" w:rsidRDefault="00723330" w:rsidP="0042665D">
      <w:pPr>
        <w:tabs>
          <w:tab w:val="left" w:pos="4820"/>
        </w:tabs>
        <w:ind w:left="3545"/>
        <w:rPr>
          <w:rFonts w:asciiTheme="minorHAnsi" w:hAnsiTheme="minorHAnsi"/>
          <w:sz w:val="20"/>
          <w:szCs w:val="20"/>
        </w:rPr>
      </w:pPr>
      <w:r w:rsidRPr="005A25CE">
        <w:rPr>
          <w:rFonts w:asciiTheme="minorHAnsi" w:hAnsiTheme="minorHAnsi"/>
          <w:sz w:val="20"/>
        </w:rPr>
        <w:tab/>
      </w:r>
      <w:r w:rsidRPr="005A25CE">
        <w:rPr>
          <w:rFonts w:asciiTheme="minorHAnsi" w:hAnsiTheme="minorHAnsi"/>
          <w:sz w:val="20"/>
        </w:rPr>
        <w:tab/>
      </w:r>
      <w:r w:rsidRPr="005A25CE">
        <w:rPr>
          <w:rFonts w:asciiTheme="minorHAnsi" w:hAnsiTheme="minorHAnsi"/>
          <w:sz w:val="20"/>
        </w:rPr>
        <w:tab/>
        <w:t xml:space="preserve">  </w:t>
      </w:r>
      <w:r w:rsidR="0042665D" w:rsidRPr="005A25CE">
        <w:rPr>
          <w:rFonts w:asciiTheme="minorHAnsi" w:hAnsiTheme="minorHAnsi"/>
          <w:sz w:val="20"/>
        </w:rPr>
        <w:t xml:space="preserve"> jméno příjmení</w:t>
      </w:r>
      <w:r w:rsidRPr="005A25CE">
        <w:rPr>
          <w:rFonts w:asciiTheme="minorHAnsi" w:hAnsiTheme="minorHAnsi"/>
          <w:sz w:val="20"/>
        </w:rPr>
        <w:t xml:space="preserve"> statutárního zástupce</w:t>
      </w:r>
      <w:r w:rsidR="0042665D" w:rsidRPr="005A25CE">
        <w:rPr>
          <w:rFonts w:asciiTheme="minorHAnsi" w:hAnsiTheme="minorHAnsi"/>
          <w:sz w:val="20"/>
        </w:rPr>
        <w:t xml:space="preserve">                                                                                      </w:t>
      </w:r>
    </w:p>
    <w:sectPr w:rsidR="00D1245F" w:rsidRPr="005A25CE" w:rsidSect="00585A44">
      <w:headerReference w:type="default" r:id="rId11"/>
      <w:footerReference w:type="default" r:id="rId12"/>
      <w:pgSz w:w="11907" w:h="16840"/>
      <w:pgMar w:top="1701" w:right="1077" w:bottom="1440" w:left="1077" w:header="1021" w:footer="53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43B" w:rsidRDefault="0080343B">
      <w:r>
        <w:separator/>
      </w:r>
    </w:p>
  </w:endnote>
  <w:endnote w:type="continuationSeparator" w:id="0">
    <w:p w:rsidR="0080343B" w:rsidRDefault="0080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19" w:rsidRPr="00555EE2" w:rsidRDefault="00F42E19" w:rsidP="00295D85">
    <w:pPr>
      <w:pStyle w:val="Zpat"/>
      <w:rPr>
        <w:rFonts w:asciiTheme="minorHAnsi" w:hAnsiTheme="minorHAnsi"/>
        <w:color w:val="808080"/>
        <w:sz w:val="20"/>
        <w:szCs w:val="20"/>
      </w:rPr>
    </w:pPr>
    <w:r w:rsidRPr="00555EE2">
      <w:rPr>
        <w:color w:val="808080"/>
        <w:sz w:val="22"/>
        <w:szCs w:val="22"/>
      </w:rPr>
      <w:tab/>
    </w:r>
    <w:r w:rsidRPr="00555EE2">
      <w:rPr>
        <w:rFonts w:asciiTheme="minorHAnsi" w:hAnsiTheme="minorHAnsi"/>
        <w:color w:val="808080"/>
        <w:sz w:val="20"/>
        <w:szCs w:val="20"/>
      </w:rPr>
      <w:t xml:space="preserve">- </w:t>
    </w:r>
    <w:r w:rsidRPr="00555EE2">
      <w:rPr>
        <w:rFonts w:asciiTheme="minorHAnsi" w:hAnsiTheme="minorHAnsi"/>
        <w:color w:val="808080"/>
        <w:sz w:val="20"/>
        <w:szCs w:val="20"/>
      </w:rPr>
      <w:fldChar w:fldCharType="begin"/>
    </w:r>
    <w:r w:rsidRPr="00555EE2">
      <w:rPr>
        <w:rFonts w:asciiTheme="minorHAnsi" w:hAnsiTheme="minorHAnsi"/>
        <w:color w:val="808080"/>
        <w:sz w:val="20"/>
        <w:szCs w:val="20"/>
      </w:rPr>
      <w:instrText xml:space="preserve"> PAGE </w:instrText>
    </w:r>
    <w:r w:rsidRPr="00555EE2">
      <w:rPr>
        <w:rFonts w:asciiTheme="minorHAnsi" w:hAnsiTheme="minorHAnsi"/>
        <w:color w:val="808080"/>
        <w:sz w:val="20"/>
        <w:szCs w:val="20"/>
      </w:rPr>
      <w:fldChar w:fldCharType="separate"/>
    </w:r>
    <w:r w:rsidR="005A25CE">
      <w:rPr>
        <w:rFonts w:asciiTheme="minorHAnsi" w:hAnsiTheme="minorHAnsi"/>
        <w:noProof/>
        <w:color w:val="808080"/>
        <w:sz w:val="20"/>
        <w:szCs w:val="20"/>
      </w:rPr>
      <w:t>2</w:t>
    </w:r>
    <w:r w:rsidRPr="00555EE2">
      <w:rPr>
        <w:rFonts w:asciiTheme="minorHAnsi" w:hAnsiTheme="minorHAnsi"/>
        <w:color w:val="808080"/>
        <w:sz w:val="20"/>
        <w:szCs w:val="20"/>
      </w:rPr>
      <w:fldChar w:fldCharType="end"/>
    </w:r>
    <w:r w:rsidRPr="00555EE2">
      <w:rPr>
        <w:rFonts w:asciiTheme="minorHAnsi" w:hAnsiTheme="minorHAnsi"/>
        <w:color w:val="8080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43B" w:rsidRDefault="0080343B">
      <w:r>
        <w:separator/>
      </w:r>
    </w:p>
  </w:footnote>
  <w:footnote w:type="continuationSeparator" w:id="0">
    <w:p w:rsidR="0080343B" w:rsidRDefault="0080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19" w:rsidRPr="00D36697" w:rsidRDefault="00F42E19" w:rsidP="00D245BB">
    <w:pPr>
      <w:pStyle w:val="Zhlav"/>
      <w:jc w:val="right"/>
      <w:rPr>
        <w:rFonts w:asciiTheme="minorHAnsi" w:hAnsiTheme="minorHAnsi"/>
        <w:b/>
        <w:color w:val="808080"/>
        <w:sz w:val="20"/>
      </w:rPr>
    </w:pPr>
    <w:r w:rsidRPr="00D36697">
      <w:rPr>
        <w:rFonts w:asciiTheme="minorHAnsi" w:hAnsiTheme="minorHAnsi"/>
        <w:b/>
        <w:color w:val="808080"/>
        <w:sz w:val="20"/>
      </w:rPr>
      <w:t>Česká podnikatelská pojišťovna, a.s., Vienna Insurance Group</w:t>
    </w:r>
  </w:p>
  <w:p w:rsidR="00F42E19" w:rsidRPr="00D36697" w:rsidRDefault="00F42E19" w:rsidP="00D245BB">
    <w:pPr>
      <w:pStyle w:val="Zhlav"/>
      <w:jc w:val="right"/>
      <w:rPr>
        <w:rFonts w:asciiTheme="minorHAnsi" w:hAnsiTheme="minorHAnsi"/>
        <w:b/>
        <w:color w:val="808080"/>
        <w:sz w:val="20"/>
      </w:rPr>
    </w:pPr>
    <w:r w:rsidRPr="00D36697">
      <w:rPr>
        <w:rFonts w:asciiTheme="minorHAnsi" w:hAnsiTheme="minorHAnsi"/>
        <w:b/>
        <w:color w:val="808080"/>
        <w:sz w:val="20"/>
      </w:rPr>
      <w:t>PS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E65DD"/>
    <w:multiLevelType w:val="hybridMultilevel"/>
    <w:tmpl w:val="389E4F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18A1DF4"/>
    <w:multiLevelType w:val="hybridMultilevel"/>
    <w:tmpl w:val="AA783054"/>
    <w:lvl w:ilvl="0" w:tplc="04050005">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160868F5"/>
    <w:multiLevelType w:val="multilevel"/>
    <w:tmpl w:val="85AEEFB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FE309D"/>
    <w:multiLevelType w:val="hybridMultilevel"/>
    <w:tmpl w:val="60DEAD1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207C2F"/>
    <w:multiLevelType w:val="hybridMultilevel"/>
    <w:tmpl w:val="EAFC6E2E"/>
    <w:lvl w:ilvl="0" w:tplc="BF3CE20E">
      <w:start w:val="1"/>
      <w:numFmt w:val="lowerLetter"/>
      <w:lvlText w:val="%1)"/>
      <w:lvlJc w:val="left"/>
      <w:pPr>
        <w:tabs>
          <w:tab w:val="num" w:pos="333"/>
        </w:tabs>
        <w:ind w:left="333" w:hanging="360"/>
      </w:pPr>
      <w:rPr>
        <w:rFonts w:hint="default"/>
        <w:i w:val="0"/>
      </w:rPr>
    </w:lvl>
    <w:lvl w:ilvl="1" w:tplc="04050019" w:tentative="1">
      <w:start w:val="1"/>
      <w:numFmt w:val="lowerLetter"/>
      <w:lvlText w:val="%2."/>
      <w:lvlJc w:val="left"/>
      <w:pPr>
        <w:tabs>
          <w:tab w:val="num" w:pos="1053"/>
        </w:tabs>
        <w:ind w:left="1053" w:hanging="360"/>
      </w:pPr>
    </w:lvl>
    <w:lvl w:ilvl="2" w:tplc="0405001B" w:tentative="1">
      <w:start w:val="1"/>
      <w:numFmt w:val="lowerRoman"/>
      <w:lvlText w:val="%3."/>
      <w:lvlJc w:val="right"/>
      <w:pPr>
        <w:tabs>
          <w:tab w:val="num" w:pos="1773"/>
        </w:tabs>
        <w:ind w:left="1773" w:hanging="180"/>
      </w:pPr>
    </w:lvl>
    <w:lvl w:ilvl="3" w:tplc="0405000F" w:tentative="1">
      <w:start w:val="1"/>
      <w:numFmt w:val="decimal"/>
      <w:lvlText w:val="%4."/>
      <w:lvlJc w:val="left"/>
      <w:pPr>
        <w:tabs>
          <w:tab w:val="num" w:pos="2493"/>
        </w:tabs>
        <w:ind w:left="2493" w:hanging="360"/>
      </w:pPr>
    </w:lvl>
    <w:lvl w:ilvl="4" w:tplc="04050019" w:tentative="1">
      <w:start w:val="1"/>
      <w:numFmt w:val="lowerLetter"/>
      <w:lvlText w:val="%5."/>
      <w:lvlJc w:val="left"/>
      <w:pPr>
        <w:tabs>
          <w:tab w:val="num" w:pos="3213"/>
        </w:tabs>
        <w:ind w:left="3213" w:hanging="360"/>
      </w:pPr>
    </w:lvl>
    <w:lvl w:ilvl="5" w:tplc="0405001B" w:tentative="1">
      <w:start w:val="1"/>
      <w:numFmt w:val="lowerRoman"/>
      <w:lvlText w:val="%6."/>
      <w:lvlJc w:val="right"/>
      <w:pPr>
        <w:tabs>
          <w:tab w:val="num" w:pos="3933"/>
        </w:tabs>
        <w:ind w:left="3933" w:hanging="180"/>
      </w:pPr>
    </w:lvl>
    <w:lvl w:ilvl="6" w:tplc="0405000F" w:tentative="1">
      <w:start w:val="1"/>
      <w:numFmt w:val="decimal"/>
      <w:lvlText w:val="%7."/>
      <w:lvlJc w:val="left"/>
      <w:pPr>
        <w:tabs>
          <w:tab w:val="num" w:pos="4653"/>
        </w:tabs>
        <w:ind w:left="4653" w:hanging="360"/>
      </w:pPr>
    </w:lvl>
    <w:lvl w:ilvl="7" w:tplc="04050019" w:tentative="1">
      <w:start w:val="1"/>
      <w:numFmt w:val="lowerLetter"/>
      <w:lvlText w:val="%8."/>
      <w:lvlJc w:val="left"/>
      <w:pPr>
        <w:tabs>
          <w:tab w:val="num" w:pos="5373"/>
        </w:tabs>
        <w:ind w:left="5373" w:hanging="360"/>
      </w:pPr>
    </w:lvl>
    <w:lvl w:ilvl="8" w:tplc="0405001B" w:tentative="1">
      <w:start w:val="1"/>
      <w:numFmt w:val="lowerRoman"/>
      <w:lvlText w:val="%9."/>
      <w:lvlJc w:val="right"/>
      <w:pPr>
        <w:tabs>
          <w:tab w:val="num" w:pos="6093"/>
        </w:tabs>
        <w:ind w:left="6093" w:hanging="180"/>
      </w:pPr>
    </w:lvl>
  </w:abstractNum>
  <w:abstractNum w:abstractNumId="7" w15:restartNumberingAfterBreak="0">
    <w:nsid w:val="1D766649"/>
    <w:multiLevelType w:val="multilevel"/>
    <w:tmpl w:val="7AEC0D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874727"/>
    <w:multiLevelType w:val="multilevel"/>
    <w:tmpl w:val="FA8C8E8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C505D8"/>
    <w:multiLevelType w:val="hybridMultilevel"/>
    <w:tmpl w:val="C7E64E04"/>
    <w:lvl w:ilvl="0" w:tplc="CC6E45E4">
      <w:numFmt w:val="bullet"/>
      <w:lvlText w:val="-"/>
      <w:lvlJc w:val="left"/>
      <w:pPr>
        <w:ind w:left="720" w:hanging="360"/>
      </w:pPr>
      <w:rPr>
        <w:rFonts w:ascii="Times New Roman" w:eastAsia="Times New Roman" w:hAnsi="Times New Roman" w:cs="Times New Roman"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946F7C"/>
    <w:multiLevelType w:val="hybridMultilevel"/>
    <w:tmpl w:val="63FC4CDC"/>
    <w:lvl w:ilvl="0" w:tplc="BB540D44">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AD556CF"/>
    <w:multiLevelType w:val="multilevel"/>
    <w:tmpl w:val="21D0B0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6A14B0"/>
    <w:multiLevelType w:val="multilevel"/>
    <w:tmpl w:val="F3662AFE"/>
    <w:lvl w:ilvl="0">
      <w:start w:val="1"/>
      <w:numFmt w:val="decimal"/>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lvlText w:val="%1.%2."/>
      <w:lvlJc w:val="left"/>
      <w:pPr>
        <w:tabs>
          <w:tab w:val="num" w:pos="540"/>
        </w:tabs>
        <w:ind w:left="464" w:hanging="284"/>
      </w:pPr>
      <w:rPr>
        <w:rFonts w:asciiTheme="minorHAnsi" w:hAnsiTheme="minorHAnsi" w:hint="default"/>
        <w:caps w:val="0"/>
        <w:strike w:val="0"/>
        <w:dstrike w:val="0"/>
        <w:vanish w:val="0"/>
        <w:color w:val="000000"/>
        <w:sz w:val="20"/>
        <w:vertAlign w:val="baseline"/>
      </w:rPr>
    </w:lvl>
    <w:lvl w:ilvl="2">
      <w:start w:val="1"/>
      <w:numFmt w:val="decimal"/>
      <w:lvlText w:val="%1.%2.%3."/>
      <w:lvlJc w:val="left"/>
      <w:pPr>
        <w:tabs>
          <w:tab w:val="num" w:pos="720"/>
        </w:tabs>
        <w:ind w:left="284" w:hanging="284"/>
      </w:pPr>
      <w:rPr>
        <w:caps w:val="0"/>
        <w:strike w:val="0"/>
        <w:dstrike w:val="0"/>
        <w:vanish w:val="0"/>
        <w:color w:val="000000"/>
        <w:sz w:val="20"/>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3C53F8A"/>
    <w:multiLevelType w:val="multilevel"/>
    <w:tmpl w:val="9E2EDAB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497483"/>
    <w:multiLevelType w:val="hybridMultilevel"/>
    <w:tmpl w:val="37C29B74"/>
    <w:lvl w:ilvl="0" w:tplc="CBB80E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38ED0E60"/>
    <w:multiLevelType w:val="hybridMultilevel"/>
    <w:tmpl w:val="7006F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8D7133"/>
    <w:multiLevelType w:val="multilevel"/>
    <w:tmpl w:val="1D72F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D330A66"/>
    <w:multiLevelType w:val="hybridMultilevel"/>
    <w:tmpl w:val="46081F64"/>
    <w:lvl w:ilvl="0" w:tplc="AD9E1C90">
      <w:start w:val="1"/>
      <w:numFmt w:val="decimal"/>
      <w:lvlText w:val="%1."/>
      <w:lvlJc w:val="left"/>
      <w:pPr>
        <w:tabs>
          <w:tab w:val="num" w:pos="360"/>
        </w:tabs>
        <w:ind w:left="360" w:hanging="360"/>
      </w:pPr>
      <w:rPr>
        <w:rFonts w:asciiTheme="minorHAnsi" w:hAnsiTheme="minorHAnsi"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3B6D7A"/>
    <w:multiLevelType w:val="multilevel"/>
    <w:tmpl w:val="A4DC1A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DE4B16"/>
    <w:multiLevelType w:val="hybridMultilevel"/>
    <w:tmpl w:val="BEE83D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7670F2"/>
    <w:multiLevelType w:val="multilevel"/>
    <w:tmpl w:val="FA8C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7960CD"/>
    <w:multiLevelType w:val="hybridMultilevel"/>
    <w:tmpl w:val="0CDA5AFA"/>
    <w:lvl w:ilvl="0" w:tplc="9BD277F4">
      <w:start w:val="1"/>
      <w:numFmt w:val="decimal"/>
      <w:lvlText w:val="%1."/>
      <w:lvlJc w:val="left"/>
      <w:pPr>
        <w:tabs>
          <w:tab w:val="num" w:pos="900"/>
        </w:tabs>
        <w:ind w:left="900" w:hanging="360"/>
      </w:pPr>
      <w:rPr>
        <w:rFonts w:hint="default"/>
      </w:rPr>
    </w:lvl>
    <w:lvl w:ilvl="1" w:tplc="04050005">
      <w:start w:val="1"/>
      <w:numFmt w:val="bullet"/>
      <w:lvlText w:val=""/>
      <w:lvlJc w:val="left"/>
      <w:pPr>
        <w:tabs>
          <w:tab w:val="num" w:pos="900"/>
        </w:tabs>
        <w:ind w:left="900" w:hanging="360"/>
      </w:pPr>
      <w:rPr>
        <w:rFonts w:ascii="Wingdings" w:hAnsi="Wingding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5"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5D455C6A"/>
    <w:multiLevelType w:val="hybridMultilevel"/>
    <w:tmpl w:val="81F05FB4"/>
    <w:lvl w:ilvl="0" w:tplc="65ACF90A">
      <w:start w:val="1"/>
      <w:numFmt w:val="lowerLetter"/>
      <w:lvlText w:val="%1)"/>
      <w:lvlJc w:val="left"/>
      <w:pPr>
        <w:tabs>
          <w:tab w:val="num" w:pos="445"/>
        </w:tabs>
        <w:ind w:left="445" w:hanging="360"/>
      </w:pPr>
      <w:rPr>
        <w:rFonts w:hint="default"/>
      </w:rPr>
    </w:lvl>
    <w:lvl w:ilvl="1" w:tplc="0405000F">
      <w:start w:val="1"/>
      <w:numFmt w:val="decimal"/>
      <w:lvlText w:val="%2."/>
      <w:lvlJc w:val="left"/>
      <w:pPr>
        <w:tabs>
          <w:tab w:val="num" w:pos="1165"/>
        </w:tabs>
        <w:ind w:left="1165" w:hanging="360"/>
      </w:pPr>
    </w:lvl>
    <w:lvl w:ilvl="2" w:tplc="0405001B" w:tentative="1">
      <w:start w:val="1"/>
      <w:numFmt w:val="lowerRoman"/>
      <w:lvlText w:val="%3."/>
      <w:lvlJc w:val="right"/>
      <w:pPr>
        <w:tabs>
          <w:tab w:val="num" w:pos="1885"/>
        </w:tabs>
        <w:ind w:left="1885" w:hanging="180"/>
      </w:pPr>
    </w:lvl>
    <w:lvl w:ilvl="3" w:tplc="0405000F" w:tentative="1">
      <w:start w:val="1"/>
      <w:numFmt w:val="decimal"/>
      <w:lvlText w:val="%4."/>
      <w:lvlJc w:val="left"/>
      <w:pPr>
        <w:tabs>
          <w:tab w:val="num" w:pos="2605"/>
        </w:tabs>
        <w:ind w:left="2605" w:hanging="360"/>
      </w:pPr>
    </w:lvl>
    <w:lvl w:ilvl="4" w:tplc="04050019" w:tentative="1">
      <w:start w:val="1"/>
      <w:numFmt w:val="lowerLetter"/>
      <w:lvlText w:val="%5."/>
      <w:lvlJc w:val="left"/>
      <w:pPr>
        <w:tabs>
          <w:tab w:val="num" w:pos="3325"/>
        </w:tabs>
        <w:ind w:left="3325" w:hanging="360"/>
      </w:pPr>
    </w:lvl>
    <w:lvl w:ilvl="5" w:tplc="0405001B" w:tentative="1">
      <w:start w:val="1"/>
      <w:numFmt w:val="lowerRoman"/>
      <w:lvlText w:val="%6."/>
      <w:lvlJc w:val="right"/>
      <w:pPr>
        <w:tabs>
          <w:tab w:val="num" w:pos="4045"/>
        </w:tabs>
        <w:ind w:left="4045" w:hanging="180"/>
      </w:pPr>
    </w:lvl>
    <w:lvl w:ilvl="6" w:tplc="0405000F" w:tentative="1">
      <w:start w:val="1"/>
      <w:numFmt w:val="decimal"/>
      <w:lvlText w:val="%7."/>
      <w:lvlJc w:val="left"/>
      <w:pPr>
        <w:tabs>
          <w:tab w:val="num" w:pos="4765"/>
        </w:tabs>
        <w:ind w:left="4765" w:hanging="360"/>
      </w:pPr>
    </w:lvl>
    <w:lvl w:ilvl="7" w:tplc="04050019" w:tentative="1">
      <w:start w:val="1"/>
      <w:numFmt w:val="lowerLetter"/>
      <w:lvlText w:val="%8."/>
      <w:lvlJc w:val="left"/>
      <w:pPr>
        <w:tabs>
          <w:tab w:val="num" w:pos="5485"/>
        </w:tabs>
        <w:ind w:left="5485" w:hanging="360"/>
      </w:pPr>
    </w:lvl>
    <w:lvl w:ilvl="8" w:tplc="0405001B" w:tentative="1">
      <w:start w:val="1"/>
      <w:numFmt w:val="lowerRoman"/>
      <w:lvlText w:val="%9."/>
      <w:lvlJc w:val="right"/>
      <w:pPr>
        <w:tabs>
          <w:tab w:val="num" w:pos="6205"/>
        </w:tabs>
        <w:ind w:left="6205" w:hanging="180"/>
      </w:pPr>
    </w:lvl>
  </w:abstractNum>
  <w:abstractNum w:abstractNumId="28"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29" w15:restartNumberingAfterBreak="0">
    <w:nsid w:val="68280664"/>
    <w:multiLevelType w:val="multilevel"/>
    <w:tmpl w:val="C402F1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4418C1"/>
    <w:multiLevelType w:val="hybridMultilevel"/>
    <w:tmpl w:val="AFEC758E"/>
    <w:lvl w:ilvl="0" w:tplc="2AA8DC14">
      <w:start w:val="1"/>
      <w:numFmt w:val="decimal"/>
      <w:lvlText w:val="%1."/>
      <w:lvlJc w:val="left"/>
      <w:pPr>
        <w:tabs>
          <w:tab w:val="num" w:pos="567"/>
        </w:tabs>
        <w:ind w:left="567" w:hanging="283"/>
      </w:pPr>
      <w:rPr>
        <w:rFonts w:ascii="Arial" w:eastAsia="Times New Roman" w:hAnsi="Arial" w:cs="Arial"/>
      </w:rPr>
    </w:lvl>
    <w:lvl w:ilvl="1" w:tplc="4DCAA0F2">
      <w:start w:val="1"/>
      <w:numFmt w:val="lowerLetter"/>
      <w:lvlText w:val="%2)"/>
      <w:lvlJc w:val="left"/>
      <w:pPr>
        <w:tabs>
          <w:tab w:val="num" w:pos="284"/>
        </w:tabs>
        <w:ind w:left="284" w:hanging="284"/>
      </w:pPr>
      <w:rPr>
        <w:rFonts w:ascii="Arial" w:eastAsia="Times New Roman" w:hAnsi="Arial" w:cs="Aria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ED1294B"/>
    <w:multiLevelType w:val="hybridMultilevel"/>
    <w:tmpl w:val="98A6BB62"/>
    <w:lvl w:ilvl="0" w:tplc="9BD277F4">
      <w:start w:val="1"/>
      <w:numFmt w:val="decimal"/>
      <w:lvlText w:val="%1."/>
      <w:lvlJc w:val="left"/>
      <w:pPr>
        <w:tabs>
          <w:tab w:val="num" w:pos="900"/>
        </w:tabs>
        <w:ind w:left="900" w:hanging="360"/>
      </w:pPr>
      <w:rPr>
        <w:rFonts w:hint="default"/>
      </w:rPr>
    </w:lvl>
    <w:lvl w:ilvl="1" w:tplc="46C20928">
      <w:start w:val="10"/>
      <w:numFmt w:val="bullet"/>
      <w:lvlText w:val="-"/>
      <w:lvlJc w:val="left"/>
      <w:pPr>
        <w:tabs>
          <w:tab w:val="num" w:pos="900"/>
        </w:tabs>
        <w:ind w:left="900" w:hanging="360"/>
      </w:pPr>
      <w:rPr>
        <w:rFonts w:ascii="Calibri" w:eastAsia="Times New Roman" w:hAnsi="Calibri" w:cs="Times New Roman"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2"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4" w15:restartNumberingAfterBreak="0">
    <w:nsid w:val="7B5C3FCD"/>
    <w:multiLevelType w:val="hybridMultilevel"/>
    <w:tmpl w:val="A706FE0E"/>
    <w:lvl w:ilvl="0" w:tplc="04050001">
      <w:start w:val="1"/>
      <w:numFmt w:val="bullet"/>
      <w:lvlText w:val=""/>
      <w:lvlJc w:val="left"/>
      <w:pPr>
        <w:ind w:left="1331" w:hanging="360"/>
      </w:pPr>
      <w:rPr>
        <w:rFonts w:ascii="Symbol" w:hAnsi="Symbol" w:hint="default"/>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35" w15:restartNumberingAfterBreak="0">
    <w:nsid w:val="7D26617C"/>
    <w:multiLevelType w:val="hybridMultilevel"/>
    <w:tmpl w:val="4B44002A"/>
    <w:lvl w:ilvl="0" w:tplc="4C782B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86432C"/>
    <w:multiLevelType w:val="hybridMultilevel"/>
    <w:tmpl w:val="4064B98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13"/>
  </w:num>
  <w:num w:numId="2">
    <w:abstractNumId w:val="20"/>
  </w:num>
  <w:num w:numId="3">
    <w:abstractNumId w:val="36"/>
  </w:num>
  <w:num w:numId="4">
    <w:abstractNumId w:val="5"/>
  </w:num>
  <w:num w:numId="5">
    <w:abstractNumId w:val="24"/>
  </w:num>
  <w:num w:numId="6">
    <w:abstractNumId w:val="27"/>
  </w:num>
  <w:num w:numId="7">
    <w:abstractNumId w:val="3"/>
  </w:num>
  <w:num w:numId="8">
    <w:abstractNumId w:val="11"/>
  </w:num>
  <w:num w:numId="9">
    <w:abstractNumId w:val="21"/>
  </w:num>
  <w:num w:numId="10">
    <w:abstractNumId w:val="14"/>
  </w:num>
  <w:num w:numId="11">
    <w:abstractNumId w:val="6"/>
  </w:num>
  <w:num w:numId="12">
    <w:abstractNumId w:val="9"/>
  </w:num>
  <w:num w:numId="13">
    <w:abstractNumId w:val="4"/>
  </w:num>
  <w:num w:numId="14">
    <w:abstractNumId w:val="0"/>
    <w:lvlOverride w:ilvl="0">
      <w:lvl w:ilvl="0">
        <w:start w:val="1"/>
        <w:numFmt w:val="bullet"/>
        <w:lvlText w:val=""/>
        <w:legacy w:legacy="1" w:legacySpace="0" w:legacyIndent="142"/>
        <w:lvlJc w:val="left"/>
        <w:pPr>
          <w:ind w:left="426" w:hanging="142"/>
        </w:pPr>
        <w:rPr>
          <w:rFonts w:ascii="Symbol" w:hAnsi="Symbol" w:hint="default"/>
        </w:rPr>
      </w:lvl>
    </w:lvlOverride>
  </w:num>
  <w:num w:numId="15">
    <w:abstractNumId w:val="17"/>
  </w:num>
  <w:num w:numId="16">
    <w:abstractNumId w:val="18"/>
  </w:num>
  <w:num w:numId="17">
    <w:abstractNumId w:val="12"/>
  </w:num>
  <w:num w:numId="18">
    <w:abstractNumId w:val="26"/>
  </w:num>
  <w:num w:numId="19">
    <w:abstractNumId w:val="16"/>
  </w:num>
  <w:num w:numId="20">
    <w:abstractNumId w:val="22"/>
  </w:num>
  <w:num w:numId="21">
    <w:abstractNumId w:val="19"/>
  </w:num>
  <w:num w:numId="22">
    <w:abstractNumId w:val="28"/>
  </w:num>
  <w:num w:numId="23">
    <w:abstractNumId w:val="32"/>
  </w:num>
  <w:num w:numId="24">
    <w:abstractNumId w:val="35"/>
  </w:num>
  <w:num w:numId="25">
    <w:abstractNumId w:val="15"/>
  </w:num>
  <w:num w:numId="26">
    <w:abstractNumId w:val="25"/>
  </w:num>
  <w:num w:numId="27">
    <w:abstractNumId w:val="33"/>
  </w:num>
  <w:num w:numId="28">
    <w:abstractNumId w:val="31"/>
  </w:num>
  <w:num w:numId="29">
    <w:abstractNumId w:val="1"/>
  </w:num>
  <w:num w:numId="30">
    <w:abstractNumId w:val="10"/>
  </w:num>
  <w:num w:numId="31">
    <w:abstractNumId w:val="30"/>
  </w:num>
  <w:num w:numId="32">
    <w:abstractNumId w:val="29"/>
  </w:num>
  <w:num w:numId="33">
    <w:abstractNumId w:val="8"/>
  </w:num>
  <w:num w:numId="34">
    <w:abstractNumId w:val="2"/>
  </w:num>
  <w:num w:numId="35">
    <w:abstractNumId w:val="7"/>
  </w:num>
  <w:num w:numId="36">
    <w:abstractNumId w:val="23"/>
  </w:num>
  <w:num w:numId="3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20"/>
    <w:rsid w:val="00007431"/>
    <w:rsid w:val="00007656"/>
    <w:rsid w:val="00017AB5"/>
    <w:rsid w:val="0002185A"/>
    <w:rsid w:val="00022D7A"/>
    <w:rsid w:val="00030383"/>
    <w:rsid w:val="00036140"/>
    <w:rsid w:val="000445CC"/>
    <w:rsid w:val="00044DA7"/>
    <w:rsid w:val="000509FF"/>
    <w:rsid w:val="000534C5"/>
    <w:rsid w:val="00053D85"/>
    <w:rsid w:val="000601FE"/>
    <w:rsid w:val="00060CE3"/>
    <w:rsid w:val="00061B48"/>
    <w:rsid w:val="000630C0"/>
    <w:rsid w:val="00063449"/>
    <w:rsid w:val="0006399B"/>
    <w:rsid w:val="0006463D"/>
    <w:rsid w:val="00067799"/>
    <w:rsid w:val="00074E11"/>
    <w:rsid w:val="00077BBB"/>
    <w:rsid w:val="00082DCC"/>
    <w:rsid w:val="00084493"/>
    <w:rsid w:val="00085AEE"/>
    <w:rsid w:val="00087E0E"/>
    <w:rsid w:val="00090D19"/>
    <w:rsid w:val="00091D0F"/>
    <w:rsid w:val="000933C3"/>
    <w:rsid w:val="000978B6"/>
    <w:rsid w:val="000A138E"/>
    <w:rsid w:val="000A4C67"/>
    <w:rsid w:val="000A5517"/>
    <w:rsid w:val="000A55D1"/>
    <w:rsid w:val="000A5C81"/>
    <w:rsid w:val="000A693E"/>
    <w:rsid w:val="000A6CBD"/>
    <w:rsid w:val="000B0EF2"/>
    <w:rsid w:val="000B2F57"/>
    <w:rsid w:val="000C1AF4"/>
    <w:rsid w:val="000C238D"/>
    <w:rsid w:val="000C288D"/>
    <w:rsid w:val="000D01A8"/>
    <w:rsid w:val="000D1319"/>
    <w:rsid w:val="000D1CC5"/>
    <w:rsid w:val="000D2864"/>
    <w:rsid w:val="000D6840"/>
    <w:rsid w:val="000D6B14"/>
    <w:rsid w:val="000D7C9E"/>
    <w:rsid w:val="000E1244"/>
    <w:rsid w:val="000F18A2"/>
    <w:rsid w:val="000F1A3B"/>
    <w:rsid w:val="000F5412"/>
    <w:rsid w:val="000F68C7"/>
    <w:rsid w:val="00101325"/>
    <w:rsid w:val="001028BE"/>
    <w:rsid w:val="00102A4F"/>
    <w:rsid w:val="00106DEE"/>
    <w:rsid w:val="001101BE"/>
    <w:rsid w:val="00115E0C"/>
    <w:rsid w:val="00116F04"/>
    <w:rsid w:val="00120995"/>
    <w:rsid w:val="00121301"/>
    <w:rsid w:val="00121697"/>
    <w:rsid w:val="0012383B"/>
    <w:rsid w:val="00130C97"/>
    <w:rsid w:val="0013428B"/>
    <w:rsid w:val="00136B0F"/>
    <w:rsid w:val="00136B99"/>
    <w:rsid w:val="00140486"/>
    <w:rsid w:val="00141470"/>
    <w:rsid w:val="00142020"/>
    <w:rsid w:val="00143066"/>
    <w:rsid w:val="00144753"/>
    <w:rsid w:val="00146C01"/>
    <w:rsid w:val="0014786C"/>
    <w:rsid w:val="0015089F"/>
    <w:rsid w:val="00150EBE"/>
    <w:rsid w:val="001619F4"/>
    <w:rsid w:val="001637AE"/>
    <w:rsid w:val="00163D0A"/>
    <w:rsid w:val="001649D4"/>
    <w:rsid w:val="00165894"/>
    <w:rsid w:val="00171A46"/>
    <w:rsid w:val="00175984"/>
    <w:rsid w:val="00176046"/>
    <w:rsid w:val="001774EA"/>
    <w:rsid w:val="001804B8"/>
    <w:rsid w:val="00180F55"/>
    <w:rsid w:val="00184F20"/>
    <w:rsid w:val="00186F14"/>
    <w:rsid w:val="00191B46"/>
    <w:rsid w:val="00191EBE"/>
    <w:rsid w:val="001931D6"/>
    <w:rsid w:val="00196AB9"/>
    <w:rsid w:val="00196AFD"/>
    <w:rsid w:val="001A01A3"/>
    <w:rsid w:val="001A1565"/>
    <w:rsid w:val="001A25D2"/>
    <w:rsid w:val="001A76D5"/>
    <w:rsid w:val="001A7941"/>
    <w:rsid w:val="001B5568"/>
    <w:rsid w:val="001B6874"/>
    <w:rsid w:val="001B7AB3"/>
    <w:rsid w:val="001C69A4"/>
    <w:rsid w:val="001C6D8C"/>
    <w:rsid w:val="001D1AC0"/>
    <w:rsid w:val="001D7B09"/>
    <w:rsid w:val="001E2CA8"/>
    <w:rsid w:val="001E6B6D"/>
    <w:rsid w:val="001F01B0"/>
    <w:rsid w:val="001F28DA"/>
    <w:rsid w:val="001F3BF3"/>
    <w:rsid w:val="00201750"/>
    <w:rsid w:val="00202310"/>
    <w:rsid w:val="00202F9A"/>
    <w:rsid w:val="0020524B"/>
    <w:rsid w:val="00214347"/>
    <w:rsid w:val="00214616"/>
    <w:rsid w:val="00216F8C"/>
    <w:rsid w:val="00217709"/>
    <w:rsid w:val="002268CF"/>
    <w:rsid w:val="00234563"/>
    <w:rsid w:val="002351DE"/>
    <w:rsid w:val="00235502"/>
    <w:rsid w:val="00261B1F"/>
    <w:rsid w:val="00264C21"/>
    <w:rsid w:val="00274AE2"/>
    <w:rsid w:val="00276AA2"/>
    <w:rsid w:val="0028193E"/>
    <w:rsid w:val="00285420"/>
    <w:rsid w:val="00290458"/>
    <w:rsid w:val="002917A1"/>
    <w:rsid w:val="0029354B"/>
    <w:rsid w:val="00293C1D"/>
    <w:rsid w:val="002945F6"/>
    <w:rsid w:val="00295D85"/>
    <w:rsid w:val="002A0EF5"/>
    <w:rsid w:val="002A4379"/>
    <w:rsid w:val="002A46F3"/>
    <w:rsid w:val="002A5387"/>
    <w:rsid w:val="002A5AA4"/>
    <w:rsid w:val="002A7FFA"/>
    <w:rsid w:val="002B285D"/>
    <w:rsid w:val="002B434D"/>
    <w:rsid w:val="002C12EF"/>
    <w:rsid w:val="002C3740"/>
    <w:rsid w:val="002C57AD"/>
    <w:rsid w:val="002D0FA5"/>
    <w:rsid w:val="002D3436"/>
    <w:rsid w:val="002D79DE"/>
    <w:rsid w:val="002F2CAA"/>
    <w:rsid w:val="002F4655"/>
    <w:rsid w:val="00302CE2"/>
    <w:rsid w:val="003030A2"/>
    <w:rsid w:val="00303616"/>
    <w:rsid w:val="003040C0"/>
    <w:rsid w:val="00304783"/>
    <w:rsid w:val="00304BA7"/>
    <w:rsid w:val="0030546C"/>
    <w:rsid w:val="00305B12"/>
    <w:rsid w:val="003109AA"/>
    <w:rsid w:val="003117F8"/>
    <w:rsid w:val="00311C1A"/>
    <w:rsid w:val="0031384F"/>
    <w:rsid w:val="00314823"/>
    <w:rsid w:val="00324B3D"/>
    <w:rsid w:val="003251FE"/>
    <w:rsid w:val="00325386"/>
    <w:rsid w:val="00325A03"/>
    <w:rsid w:val="0033216B"/>
    <w:rsid w:val="0033238E"/>
    <w:rsid w:val="003339DD"/>
    <w:rsid w:val="00333F99"/>
    <w:rsid w:val="00334F08"/>
    <w:rsid w:val="003377FB"/>
    <w:rsid w:val="00337C38"/>
    <w:rsid w:val="003415D7"/>
    <w:rsid w:val="00342BEA"/>
    <w:rsid w:val="0034581A"/>
    <w:rsid w:val="00345F5C"/>
    <w:rsid w:val="00347216"/>
    <w:rsid w:val="00352CE7"/>
    <w:rsid w:val="003554AB"/>
    <w:rsid w:val="00356934"/>
    <w:rsid w:val="003643F1"/>
    <w:rsid w:val="0036532A"/>
    <w:rsid w:val="00366C5B"/>
    <w:rsid w:val="00371FC6"/>
    <w:rsid w:val="00372F0F"/>
    <w:rsid w:val="00374FC4"/>
    <w:rsid w:val="00375D3A"/>
    <w:rsid w:val="0038047E"/>
    <w:rsid w:val="0039179F"/>
    <w:rsid w:val="00392723"/>
    <w:rsid w:val="0039291E"/>
    <w:rsid w:val="00393A74"/>
    <w:rsid w:val="00394EE9"/>
    <w:rsid w:val="003A364D"/>
    <w:rsid w:val="003B0B54"/>
    <w:rsid w:val="003B1CD1"/>
    <w:rsid w:val="003B4EF1"/>
    <w:rsid w:val="003C0E98"/>
    <w:rsid w:val="003C3A25"/>
    <w:rsid w:val="003C5092"/>
    <w:rsid w:val="003C68B5"/>
    <w:rsid w:val="003D09A1"/>
    <w:rsid w:val="003D1105"/>
    <w:rsid w:val="003D511E"/>
    <w:rsid w:val="003D782F"/>
    <w:rsid w:val="003E06D2"/>
    <w:rsid w:val="003E1AC7"/>
    <w:rsid w:val="003E215D"/>
    <w:rsid w:val="003E3D03"/>
    <w:rsid w:val="003E3E60"/>
    <w:rsid w:val="003E66FD"/>
    <w:rsid w:val="003F59E0"/>
    <w:rsid w:val="003F61F6"/>
    <w:rsid w:val="00404F01"/>
    <w:rsid w:val="0041133B"/>
    <w:rsid w:val="00412111"/>
    <w:rsid w:val="00416167"/>
    <w:rsid w:val="00416773"/>
    <w:rsid w:val="00417E09"/>
    <w:rsid w:val="004206DB"/>
    <w:rsid w:val="0042665D"/>
    <w:rsid w:val="00427A35"/>
    <w:rsid w:val="004307FC"/>
    <w:rsid w:val="0043246D"/>
    <w:rsid w:val="00432D4D"/>
    <w:rsid w:val="0043678B"/>
    <w:rsid w:val="00442EEE"/>
    <w:rsid w:val="0044513A"/>
    <w:rsid w:val="0045266A"/>
    <w:rsid w:val="004565EB"/>
    <w:rsid w:val="00457281"/>
    <w:rsid w:val="004607F4"/>
    <w:rsid w:val="00460FE4"/>
    <w:rsid w:val="004629B2"/>
    <w:rsid w:val="00464675"/>
    <w:rsid w:val="00464875"/>
    <w:rsid w:val="00464C49"/>
    <w:rsid w:val="004655A1"/>
    <w:rsid w:val="00476C1A"/>
    <w:rsid w:val="00482313"/>
    <w:rsid w:val="00486A3C"/>
    <w:rsid w:val="00486D78"/>
    <w:rsid w:val="00491E22"/>
    <w:rsid w:val="00492F4C"/>
    <w:rsid w:val="0049327A"/>
    <w:rsid w:val="004961A4"/>
    <w:rsid w:val="004A0D7C"/>
    <w:rsid w:val="004A3487"/>
    <w:rsid w:val="004A4A32"/>
    <w:rsid w:val="004A4B38"/>
    <w:rsid w:val="004A4F3A"/>
    <w:rsid w:val="004A5F76"/>
    <w:rsid w:val="004A6A9D"/>
    <w:rsid w:val="004A7570"/>
    <w:rsid w:val="004B127F"/>
    <w:rsid w:val="004B1E94"/>
    <w:rsid w:val="004B6E8D"/>
    <w:rsid w:val="004C30CF"/>
    <w:rsid w:val="004C5BE1"/>
    <w:rsid w:val="004D4605"/>
    <w:rsid w:val="004D4732"/>
    <w:rsid w:val="004D7879"/>
    <w:rsid w:val="004E2D47"/>
    <w:rsid w:val="004E3E78"/>
    <w:rsid w:val="004E794E"/>
    <w:rsid w:val="004F2823"/>
    <w:rsid w:val="004F3BDC"/>
    <w:rsid w:val="004F4BA1"/>
    <w:rsid w:val="004F6746"/>
    <w:rsid w:val="004F6A9A"/>
    <w:rsid w:val="004F701C"/>
    <w:rsid w:val="0050369A"/>
    <w:rsid w:val="00510B98"/>
    <w:rsid w:val="00515443"/>
    <w:rsid w:val="00521463"/>
    <w:rsid w:val="005223C6"/>
    <w:rsid w:val="0052266A"/>
    <w:rsid w:val="0052370A"/>
    <w:rsid w:val="00526FE8"/>
    <w:rsid w:val="00530463"/>
    <w:rsid w:val="0053588E"/>
    <w:rsid w:val="005431F1"/>
    <w:rsid w:val="005445C5"/>
    <w:rsid w:val="00546181"/>
    <w:rsid w:val="005502B8"/>
    <w:rsid w:val="00555EE2"/>
    <w:rsid w:val="00557634"/>
    <w:rsid w:val="005649BC"/>
    <w:rsid w:val="005672AE"/>
    <w:rsid w:val="00571AD1"/>
    <w:rsid w:val="00573C9B"/>
    <w:rsid w:val="00575F13"/>
    <w:rsid w:val="005841F5"/>
    <w:rsid w:val="00585A44"/>
    <w:rsid w:val="00587786"/>
    <w:rsid w:val="005914BD"/>
    <w:rsid w:val="00591500"/>
    <w:rsid w:val="00596917"/>
    <w:rsid w:val="00596C40"/>
    <w:rsid w:val="005A0FBA"/>
    <w:rsid w:val="005A10F8"/>
    <w:rsid w:val="005A25CE"/>
    <w:rsid w:val="005A3DBB"/>
    <w:rsid w:val="005A5CC1"/>
    <w:rsid w:val="005B27A5"/>
    <w:rsid w:val="005B3A62"/>
    <w:rsid w:val="005B4BA1"/>
    <w:rsid w:val="005B5363"/>
    <w:rsid w:val="005B7A5C"/>
    <w:rsid w:val="005C23F7"/>
    <w:rsid w:val="005C27A7"/>
    <w:rsid w:val="005C3229"/>
    <w:rsid w:val="005C3A9D"/>
    <w:rsid w:val="005C4FBF"/>
    <w:rsid w:val="005C557D"/>
    <w:rsid w:val="005D21FF"/>
    <w:rsid w:val="005E18B5"/>
    <w:rsid w:val="005E45B6"/>
    <w:rsid w:val="005F231B"/>
    <w:rsid w:val="005F5F85"/>
    <w:rsid w:val="00600493"/>
    <w:rsid w:val="00601763"/>
    <w:rsid w:val="0060544E"/>
    <w:rsid w:val="00607086"/>
    <w:rsid w:val="006078DA"/>
    <w:rsid w:val="00607AF5"/>
    <w:rsid w:val="00615CA2"/>
    <w:rsid w:val="0061637D"/>
    <w:rsid w:val="00621FF2"/>
    <w:rsid w:val="00624805"/>
    <w:rsid w:val="006260D5"/>
    <w:rsid w:val="0062671B"/>
    <w:rsid w:val="006300CB"/>
    <w:rsid w:val="006314EC"/>
    <w:rsid w:val="00631587"/>
    <w:rsid w:val="00631BD3"/>
    <w:rsid w:val="006337C2"/>
    <w:rsid w:val="006344CB"/>
    <w:rsid w:val="006371D7"/>
    <w:rsid w:val="006405A2"/>
    <w:rsid w:val="00643B24"/>
    <w:rsid w:val="00644080"/>
    <w:rsid w:val="00650BF8"/>
    <w:rsid w:val="00652E31"/>
    <w:rsid w:val="00654A40"/>
    <w:rsid w:val="0065624E"/>
    <w:rsid w:val="00656A48"/>
    <w:rsid w:val="00656C6E"/>
    <w:rsid w:val="0066046B"/>
    <w:rsid w:val="00663007"/>
    <w:rsid w:val="006644E5"/>
    <w:rsid w:val="006656D2"/>
    <w:rsid w:val="00674211"/>
    <w:rsid w:val="00676AAA"/>
    <w:rsid w:val="00680497"/>
    <w:rsid w:val="00680663"/>
    <w:rsid w:val="006847E8"/>
    <w:rsid w:val="00687C88"/>
    <w:rsid w:val="0069112A"/>
    <w:rsid w:val="0069233C"/>
    <w:rsid w:val="00692341"/>
    <w:rsid w:val="00693BAE"/>
    <w:rsid w:val="006A0DA1"/>
    <w:rsid w:val="006A27D7"/>
    <w:rsid w:val="006A3615"/>
    <w:rsid w:val="006A59A9"/>
    <w:rsid w:val="006B54D6"/>
    <w:rsid w:val="006C1E64"/>
    <w:rsid w:val="006C29C7"/>
    <w:rsid w:val="006D0220"/>
    <w:rsid w:val="006D2037"/>
    <w:rsid w:val="006D32B5"/>
    <w:rsid w:val="006D7CBC"/>
    <w:rsid w:val="006E0501"/>
    <w:rsid w:val="006E1F51"/>
    <w:rsid w:val="006E21D2"/>
    <w:rsid w:val="006E468B"/>
    <w:rsid w:val="006E67B9"/>
    <w:rsid w:val="006F1ED3"/>
    <w:rsid w:val="006F2C67"/>
    <w:rsid w:val="006F489A"/>
    <w:rsid w:val="006F71DD"/>
    <w:rsid w:val="007071E4"/>
    <w:rsid w:val="00707257"/>
    <w:rsid w:val="0070750D"/>
    <w:rsid w:val="0071144D"/>
    <w:rsid w:val="007125B1"/>
    <w:rsid w:val="00723330"/>
    <w:rsid w:val="00727C77"/>
    <w:rsid w:val="00737D34"/>
    <w:rsid w:val="00742600"/>
    <w:rsid w:val="00743013"/>
    <w:rsid w:val="00753226"/>
    <w:rsid w:val="00760F17"/>
    <w:rsid w:val="00767C92"/>
    <w:rsid w:val="00772B91"/>
    <w:rsid w:val="00776FAF"/>
    <w:rsid w:val="00784034"/>
    <w:rsid w:val="0079430F"/>
    <w:rsid w:val="00794F12"/>
    <w:rsid w:val="007953A1"/>
    <w:rsid w:val="007958C5"/>
    <w:rsid w:val="007965CA"/>
    <w:rsid w:val="007A45E4"/>
    <w:rsid w:val="007A48E1"/>
    <w:rsid w:val="007A5FB6"/>
    <w:rsid w:val="007B2A9B"/>
    <w:rsid w:val="007B54B7"/>
    <w:rsid w:val="007C16FB"/>
    <w:rsid w:val="007C298B"/>
    <w:rsid w:val="007C3A7A"/>
    <w:rsid w:val="007C47F0"/>
    <w:rsid w:val="007C5271"/>
    <w:rsid w:val="007C642E"/>
    <w:rsid w:val="007D0687"/>
    <w:rsid w:val="007D0E13"/>
    <w:rsid w:val="007D12EA"/>
    <w:rsid w:val="007D2DAF"/>
    <w:rsid w:val="007D43BF"/>
    <w:rsid w:val="007D59ED"/>
    <w:rsid w:val="007E51D4"/>
    <w:rsid w:val="007E5643"/>
    <w:rsid w:val="007E69D0"/>
    <w:rsid w:val="007E7D66"/>
    <w:rsid w:val="007F1BB1"/>
    <w:rsid w:val="007F2B96"/>
    <w:rsid w:val="007F395C"/>
    <w:rsid w:val="007F4731"/>
    <w:rsid w:val="007F4AE9"/>
    <w:rsid w:val="007F5756"/>
    <w:rsid w:val="007F662B"/>
    <w:rsid w:val="007F6B58"/>
    <w:rsid w:val="00801B4E"/>
    <w:rsid w:val="0080343B"/>
    <w:rsid w:val="0080457C"/>
    <w:rsid w:val="00804F07"/>
    <w:rsid w:val="00810D5E"/>
    <w:rsid w:val="008122A0"/>
    <w:rsid w:val="00815086"/>
    <w:rsid w:val="00816414"/>
    <w:rsid w:val="00817C5A"/>
    <w:rsid w:val="008267F1"/>
    <w:rsid w:val="00827E72"/>
    <w:rsid w:val="008331E1"/>
    <w:rsid w:val="008338EB"/>
    <w:rsid w:val="008351B8"/>
    <w:rsid w:val="0083558A"/>
    <w:rsid w:val="00837635"/>
    <w:rsid w:val="00843A1E"/>
    <w:rsid w:val="0085039A"/>
    <w:rsid w:val="00853721"/>
    <w:rsid w:val="008538D6"/>
    <w:rsid w:val="00856060"/>
    <w:rsid w:val="00857BFE"/>
    <w:rsid w:val="00860577"/>
    <w:rsid w:val="00862C01"/>
    <w:rsid w:val="00865EF1"/>
    <w:rsid w:val="00871E00"/>
    <w:rsid w:val="008729DB"/>
    <w:rsid w:val="00881E50"/>
    <w:rsid w:val="00882DE0"/>
    <w:rsid w:val="008831AC"/>
    <w:rsid w:val="00884457"/>
    <w:rsid w:val="00885C23"/>
    <w:rsid w:val="008916D2"/>
    <w:rsid w:val="0089262F"/>
    <w:rsid w:val="00893141"/>
    <w:rsid w:val="00894B80"/>
    <w:rsid w:val="00896193"/>
    <w:rsid w:val="00896DC9"/>
    <w:rsid w:val="008974CC"/>
    <w:rsid w:val="008A769C"/>
    <w:rsid w:val="008A7B97"/>
    <w:rsid w:val="008B0C68"/>
    <w:rsid w:val="008B2DF7"/>
    <w:rsid w:val="008C3798"/>
    <w:rsid w:val="008C599C"/>
    <w:rsid w:val="008C7673"/>
    <w:rsid w:val="008D0176"/>
    <w:rsid w:val="008D01FA"/>
    <w:rsid w:val="008D273C"/>
    <w:rsid w:val="008D4433"/>
    <w:rsid w:val="008D6FB3"/>
    <w:rsid w:val="008D72F0"/>
    <w:rsid w:val="008E0120"/>
    <w:rsid w:val="008E4181"/>
    <w:rsid w:val="008E4E35"/>
    <w:rsid w:val="008E5C2F"/>
    <w:rsid w:val="008E6C87"/>
    <w:rsid w:val="008F04F1"/>
    <w:rsid w:val="008F22C0"/>
    <w:rsid w:val="008F2727"/>
    <w:rsid w:val="0090050A"/>
    <w:rsid w:val="00901105"/>
    <w:rsid w:val="0090123A"/>
    <w:rsid w:val="0090684F"/>
    <w:rsid w:val="009070AF"/>
    <w:rsid w:val="00910786"/>
    <w:rsid w:val="00910982"/>
    <w:rsid w:val="00916B23"/>
    <w:rsid w:val="009171B2"/>
    <w:rsid w:val="00921837"/>
    <w:rsid w:val="00921A63"/>
    <w:rsid w:val="00921AFA"/>
    <w:rsid w:val="00923B5A"/>
    <w:rsid w:val="00925480"/>
    <w:rsid w:val="00925ABD"/>
    <w:rsid w:val="0092624E"/>
    <w:rsid w:val="009270D8"/>
    <w:rsid w:val="00931AFA"/>
    <w:rsid w:val="00931B7C"/>
    <w:rsid w:val="00934BD8"/>
    <w:rsid w:val="00936242"/>
    <w:rsid w:val="00941083"/>
    <w:rsid w:val="00941478"/>
    <w:rsid w:val="00941CB9"/>
    <w:rsid w:val="009429B9"/>
    <w:rsid w:val="00947C0C"/>
    <w:rsid w:val="00952FD3"/>
    <w:rsid w:val="00955C9A"/>
    <w:rsid w:val="00956D35"/>
    <w:rsid w:val="0096070C"/>
    <w:rsid w:val="009612B0"/>
    <w:rsid w:val="0096339C"/>
    <w:rsid w:val="00966477"/>
    <w:rsid w:val="0097094A"/>
    <w:rsid w:val="00971C9E"/>
    <w:rsid w:val="00974201"/>
    <w:rsid w:val="00980114"/>
    <w:rsid w:val="0098138F"/>
    <w:rsid w:val="00985458"/>
    <w:rsid w:val="00994712"/>
    <w:rsid w:val="0099560E"/>
    <w:rsid w:val="00995923"/>
    <w:rsid w:val="009A35F2"/>
    <w:rsid w:val="009A51C7"/>
    <w:rsid w:val="009B0638"/>
    <w:rsid w:val="009B1A6F"/>
    <w:rsid w:val="009B210A"/>
    <w:rsid w:val="009B38CF"/>
    <w:rsid w:val="009B4A8F"/>
    <w:rsid w:val="009B5DD4"/>
    <w:rsid w:val="009B5EAB"/>
    <w:rsid w:val="009C6B66"/>
    <w:rsid w:val="009D0C33"/>
    <w:rsid w:val="009E0D2F"/>
    <w:rsid w:val="009E5FE6"/>
    <w:rsid w:val="009F1345"/>
    <w:rsid w:val="009F18CD"/>
    <w:rsid w:val="009F1921"/>
    <w:rsid w:val="009F1BC9"/>
    <w:rsid w:val="009F6576"/>
    <w:rsid w:val="009F661B"/>
    <w:rsid w:val="009F6E8F"/>
    <w:rsid w:val="009F7DFB"/>
    <w:rsid w:val="00A01671"/>
    <w:rsid w:val="00A01C28"/>
    <w:rsid w:val="00A04DC2"/>
    <w:rsid w:val="00A0542E"/>
    <w:rsid w:val="00A05C51"/>
    <w:rsid w:val="00A0616B"/>
    <w:rsid w:val="00A06228"/>
    <w:rsid w:val="00A0710D"/>
    <w:rsid w:val="00A07ECE"/>
    <w:rsid w:val="00A07EF0"/>
    <w:rsid w:val="00A07F5B"/>
    <w:rsid w:val="00A12B61"/>
    <w:rsid w:val="00A14E5A"/>
    <w:rsid w:val="00A26490"/>
    <w:rsid w:val="00A36436"/>
    <w:rsid w:val="00A4022B"/>
    <w:rsid w:val="00A40418"/>
    <w:rsid w:val="00A4086C"/>
    <w:rsid w:val="00A414AC"/>
    <w:rsid w:val="00A41E0C"/>
    <w:rsid w:val="00A45C18"/>
    <w:rsid w:val="00A4765A"/>
    <w:rsid w:val="00A47F28"/>
    <w:rsid w:val="00A55A0A"/>
    <w:rsid w:val="00A5674E"/>
    <w:rsid w:val="00A62C91"/>
    <w:rsid w:val="00A63250"/>
    <w:rsid w:val="00A63536"/>
    <w:rsid w:val="00A644CB"/>
    <w:rsid w:val="00A66442"/>
    <w:rsid w:val="00A67969"/>
    <w:rsid w:val="00A717E7"/>
    <w:rsid w:val="00A74EE1"/>
    <w:rsid w:val="00A77CBA"/>
    <w:rsid w:val="00A80252"/>
    <w:rsid w:val="00A81C96"/>
    <w:rsid w:val="00A84C59"/>
    <w:rsid w:val="00A84E87"/>
    <w:rsid w:val="00A92492"/>
    <w:rsid w:val="00A92995"/>
    <w:rsid w:val="00A92D53"/>
    <w:rsid w:val="00A939A7"/>
    <w:rsid w:val="00A94D43"/>
    <w:rsid w:val="00A972B5"/>
    <w:rsid w:val="00AA27D3"/>
    <w:rsid w:val="00AB00ED"/>
    <w:rsid w:val="00AB0C21"/>
    <w:rsid w:val="00AB19C2"/>
    <w:rsid w:val="00AB592B"/>
    <w:rsid w:val="00AC3536"/>
    <w:rsid w:val="00AC631B"/>
    <w:rsid w:val="00AC72DE"/>
    <w:rsid w:val="00AD03F6"/>
    <w:rsid w:val="00AD0E07"/>
    <w:rsid w:val="00AD3A3D"/>
    <w:rsid w:val="00AE0D3D"/>
    <w:rsid w:val="00AE4713"/>
    <w:rsid w:val="00AE6AD4"/>
    <w:rsid w:val="00AF3033"/>
    <w:rsid w:val="00AF52B8"/>
    <w:rsid w:val="00AF5D95"/>
    <w:rsid w:val="00AF60E1"/>
    <w:rsid w:val="00B00890"/>
    <w:rsid w:val="00B04D46"/>
    <w:rsid w:val="00B0573B"/>
    <w:rsid w:val="00B07CF3"/>
    <w:rsid w:val="00B1135B"/>
    <w:rsid w:val="00B2251E"/>
    <w:rsid w:val="00B22D81"/>
    <w:rsid w:val="00B25C78"/>
    <w:rsid w:val="00B26171"/>
    <w:rsid w:val="00B323B0"/>
    <w:rsid w:val="00B33908"/>
    <w:rsid w:val="00B33B3C"/>
    <w:rsid w:val="00B37BC0"/>
    <w:rsid w:val="00B37E4F"/>
    <w:rsid w:val="00B4310B"/>
    <w:rsid w:val="00B4352A"/>
    <w:rsid w:val="00B506EA"/>
    <w:rsid w:val="00B54FC5"/>
    <w:rsid w:val="00B56A22"/>
    <w:rsid w:val="00B572F7"/>
    <w:rsid w:val="00B57F0D"/>
    <w:rsid w:val="00B629F0"/>
    <w:rsid w:val="00B65161"/>
    <w:rsid w:val="00B65F92"/>
    <w:rsid w:val="00B7181F"/>
    <w:rsid w:val="00B761D4"/>
    <w:rsid w:val="00B779E3"/>
    <w:rsid w:val="00B8391F"/>
    <w:rsid w:val="00B86C56"/>
    <w:rsid w:val="00B86E0A"/>
    <w:rsid w:val="00B91CC7"/>
    <w:rsid w:val="00B93593"/>
    <w:rsid w:val="00BA0365"/>
    <w:rsid w:val="00BA2C4D"/>
    <w:rsid w:val="00BA4F77"/>
    <w:rsid w:val="00BA65E2"/>
    <w:rsid w:val="00BA76A6"/>
    <w:rsid w:val="00BB0FDB"/>
    <w:rsid w:val="00BB25FB"/>
    <w:rsid w:val="00BC08CB"/>
    <w:rsid w:val="00BC46C9"/>
    <w:rsid w:val="00BC5BD1"/>
    <w:rsid w:val="00BD5528"/>
    <w:rsid w:val="00BD6C68"/>
    <w:rsid w:val="00BD7EA4"/>
    <w:rsid w:val="00BE1AC7"/>
    <w:rsid w:val="00BE3E93"/>
    <w:rsid w:val="00BF109F"/>
    <w:rsid w:val="00BF2E2E"/>
    <w:rsid w:val="00BF5896"/>
    <w:rsid w:val="00C003AB"/>
    <w:rsid w:val="00C003C2"/>
    <w:rsid w:val="00C01A4D"/>
    <w:rsid w:val="00C02FD0"/>
    <w:rsid w:val="00C033B8"/>
    <w:rsid w:val="00C04909"/>
    <w:rsid w:val="00C0594A"/>
    <w:rsid w:val="00C06D3C"/>
    <w:rsid w:val="00C070BE"/>
    <w:rsid w:val="00C07942"/>
    <w:rsid w:val="00C07E29"/>
    <w:rsid w:val="00C12A14"/>
    <w:rsid w:val="00C14182"/>
    <w:rsid w:val="00C17C42"/>
    <w:rsid w:val="00C21E97"/>
    <w:rsid w:val="00C23E32"/>
    <w:rsid w:val="00C30134"/>
    <w:rsid w:val="00C31D8A"/>
    <w:rsid w:val="00C31F45"/>
    <w:rsid w:val="00C337D7"/>
    <w:rsid w:val="00C40FA8"/>
    <w:rsid w:val="00C43A7F"/>
    <w:rsid w:val="00C45315"/>
    <w:rsid w:val="00C601D6"/>
    <w:rsid w:val="00C60952"/>
    <w:rsid w:val="00C62AA9"/>
    <w:rsid w:val="00C65005"/>
    <w:rsid w:val="00C6581B"/>
    <w:rsid w:val="00C70620"/>
    <w:rsid w:val="00C71130"/>
    <w:rsid w:val="00C74A01"/>
    <w:rsid w:val="00C75AAB"/>
    <w:rsid w:val="00C80269"/>
    <w:rsid w:val="00C92EC3"/>
    <w:rsid w:val="00C935A7"/>
    <w:rsid w:val="00C9369D"/>
    <w:rsid w:val="00C961EB"/>
    <w:rsid w:val="00CA1BED"/>
    <w:rsid w:val="00CA7A8A"/>
    <w:rsid w:val="00CB08F3"/>
    <w:rsid w:val="00CB0D56"/>
    <w:rsid w:val="00CB216B"/>
    <w:rsid w:val="00CB22F4"/>
    <w:rsid w:val="00CB43F6"/>
    <w:rsid w:val="00CC24A0"/>
    <w:rsid w:val="00CC4068"/>
    <w:rsid w:val="00CC4295"/>
    <w:rsid w:val="00CC7ACF"/>
    <w:rsid w:val="00CD221E"/>
    <w:rsid w:val="00CD3262"/>
    <w:rsid w:val="00CD45FB"/>
    <w:rsid w:val="00CE19CE"/>
    <w:rsid w:val="00CE2412"/>
    <w:rsid w:val="00CE2C6E"/>
    <w:rsid w:val="00CE2E4D"/>
    <w:rsid w:val="00CE3C74"/>
    <w:rsid w:val="00CE401F"/>
    <w:rsid w:val="00CE4E1C"/>
    <w:rsid w:val="00CE7D12"/>
    <w:rsid w:val="00CF1D01"/>
    <w:rsid w:val="00CF2EE6"/>
    <w:rsid w:val="00CF3885"/>
    <w:rsid w:val="00CF69EE"/>
    <w:rsid w:val="00D01256"/>
    <w:rsid w:val="00D025D4"/>
    <w:rsid w:val="00D10145"/>
    <w:rsid w:val="00D1245F"/>
    <w:rsid w:val="00D153F5"/>
    <w:rsid w:val="00D245BB"/>
    <w:rsid w:val="00D24FEB"/>
    <w:rsid w:val="00D26049"/>
    <w:rsid w:val="00D271D8"/>
    <w:rsid w:val="00D34748"/>
    <w:rsid w:val="00D34A7E"/>
    <w:rsid w:val="00D36697"/>
    <w:rsid w:val="00D36788"/>
    <w:rsid w:val="00D37581"/>
    <w:rsid w:val="00D37FF4"/>
    <w:rsid w:val="00D45C13"/>
    <w:rsid w:val="00D47068"/>
    <w:rsid w:val="00D5158F"/>
    <w:rsid w:val="00D535E2"/>
    <w:rsid w:val="00D540DE"/>
    <w:rsid w:val="00D57B79"/>
    <w:rsid w:val="00D63430"/>
    <w:rsid w:val="00D715BF"/>
    <w:rsid w:val="00D726D7"/>
    <w:rsid w:val="00D8585B"/>
    <w:rsid w:val="00D85880"/>
    <w:rsid w:val="00D91909"/>
    <w:rsid w:val="00D94512"/>
    <w:rsid w:val="00D9480B"/>
    <w:rsid w:val="00D9724F"/>
    <w:rsid w:val="00DA12D6"/>
    <w:rsid w:val="00DA3153"/>
    <w:rsid w:val="00DA3AEF"/>
    <w:rsid w:val="00DA4013"/>
    <w:rsid w:val="00DB1613"/>
    <w:rsid w:val="00DB1D20"/>
    <w:rsid w:val="00DB1ED0"/>
    <w:rsid w:val="00DB3412"/>
    <w:rsid w:val="00DC1466"/>
    <w:rsid w:val="00DC16FB"/>
    <w:rsid w:val="00DC21B4"/>
    <w:rsid w:val="00DC34BF"/>
    <w:rsid w:val="00DC5A4D"/>
    <w:rsid w:val="00DC660B"/>
    <w:rsid w:val="00DD16B9"/>
    <w:rsid w:val="00DD2BF9"/>
    <w:rsid w:val="00DD309D"/>
    <w:rsid w:val="00DD61D0"/>
    <w:rsid w:val="00DD72E4"/>
    <w:rsid w:val="00DD7876"/>
    <w:rsid w:val="00DE64F8"/>
    <w:rsid w:val="00DF38BA"/>
    <w:rsid w:val="00DF5477"/>
    <w:rsid w:val="00DF7F05"/>
    <w:rsid w:val="00E00160"/>
    <w:rsid w:val="00E017B2"/>
    <w:rsid w:val="00E02CBC"/>
    <w:rsid w:val="00E06A16"/>
    <w:rsid w:val="00E121A2"/>
    <w:rsid w:val="00E137B9"/>
    <w:rsid w:val="00E143C8"/>
    <w:rsid w:val="00E14BF1"/>
    <w:rsid w:val="00E158B3"/>
    <w:rsid w:val="00E1799D"/>
    <w:rsid w:val="00E23ECE"/>
    <w:rsid w:val="00E25EC7"/>
    <w:rsid w:val="00E304DB"/>
    <w:rsid w:val="00E3241F"/>
    <w:rsid w:val="00E32D31"/>
    <w:rsid w:val="00E43269"/>
    <w:rsid w:val="00E45B32"/>
    <w:rsid w:val="00E50B6B"/>
    <w:rsid w:val="00E53D66"/>
    <w:rsid w:val="00E551FF"/>
    <w:rsid w:val="00E619F1"/>
    <w:rsid w:val="00E63683"/>
    <w:rsid w:val="00E73449"/>
    <w:rsid w:val="00E74678"/>
    <w:rsid w:val="00E74A7F"/>
    <w:rsid w:val="00E82AAF"/>
    <w:rsid w:val="00E8324D"/>
    <w:rsid w:val="00E833A3"/>
    <w:rsid w:val="00E87DF6"/>
    <w:rsid w:val="00E9153B"/>
    <w:rsid w:val="00E9244F"/>
    <w:rsid w:val="00E963F5"/>
    <w:rsid w:val="00E97434"/>
    <w:rsid w:val="00EA4DAC"/>
    <w:rsid w:val="00EA5D8A"/>
    <w:rsid w:val="00EA7A74"/>
    <w:rsid w:val="00EB12C0"/>
    <w:rsid w:val="00EB4ACC"/>
    <w:rsid w:val="00EB5C02"/>
    <w:rsid w:val="00EB6520"/>
    <w:rsid w:val="00EC01F7"/>
    <w:rsid w:val="00EC0EA7"/>
    <w:rsid w:val="00EC1798"/>
    <w:rsid w:val="00EC2BCC"/>
    <w:rsid w:val="00EC6827"/>
    <w:rsid w:val="00ED194A"/>
    <w:rsid w:val="00ED2F41"/>
    <w:rsid w:val="00ED63F9"/>
    <w:rsid w:val="00EE27F7"/>
    <w:rsid w:val="00EE515F"/>
    <w:rsid w:val="00EE6132"/>
    <w:rsid w:val="00EE6B1E"/>
    <w:rsid w:val="00EF0A10"/>
    <w:rsid w:val="00EF3D02"/>
    <w:rsid w:val="00EF50EE"/>
    <w:rsid w:val="00F0262D"/>
    <w:rsid w:val="00F03D57"/>
    <w:rsid w:val="00F1575C"/>
    <w:rsid w:val="00F15E04"/>
    <w:rsid w:val="00F172DC"/>
    <w:rsid w:val="00F21A7D"/>
    <w:rsid w:val="00F24A04"/>
    <w:rsid w:val="00F24C93"/>
    <w:rsid w:val="00F24CBE"/>
    <w:rsid w:val="00F26539"/>
    <w:rsid w:val="00F328DA"/>
    <w:rsid w:val="00F33608"/>
    <w:rsid w:val="00F34BB5"/>
    <w:rsid w:val="00F367B0"/>
    <w:rsid w:val="00F42088"/>
    <w:rsid w:val="00F42E19"/>
    <w:rsid w:val="00F42F47"/>
    <w:rsid w:val="00F447D0"/>
    <w:rsid w:val="00F47941"/>
    <w:rsid w:val="00F51A50"/>
    <w:rsid w:val="00F57538"/>
    <w:rsid w:val="00F57DB0"/>
    <w:rsid w:val="00F642FC"/>
    <w:rsid w:val="00F669AB"/>
    <w:rsid w:val="00F67104"/>
    <w:rsid w:val="00F70C11"/>
    <w:rsid w:val="00F736E6"/>
    <w:rsid w:val="00F7505B"/>
    <w:rsid w:val="00F76FDB"/>
    <w:rsid w:val="00F82F88"/>
    <w:rsid w:val="00F852A2"/>
    <w:rsid w:val="00F85885"/>
    <w:rsid w:val="00F864B3"/>
    <w:rsid w:val="00F873DC"/>
    <w:rsid w:val="00F91A8B"/>
    <w:rsid w:val="00F91E42"/>
    <w:rsid w:val="00F966DB"/>
    <w:rsid w:val="00FA3193"/>
    <w:rsid w:val="00FA41DE"/>
    <w:rsid w:val="00FA583F"/>
    <w:rsid w:val="00FA5B7F"/>
    <w:rsid w:val="00FA7B77"/>
    <w:rsid w:val="00FA7C97"/>
    <w:rsid w:val="00FB0D88"/>
    <w:rsid w:val="00FB14A8"/>
    <w:rsid w:val="00FB34BD"/>
    <w:rsid w:val="00FC183F"/>
    <w:rsid w:val="00FC2469"/>
    <w:rsid w:val="00FC2EFB"/>
    <w:rsid w:val="00FC4132"/>
    <w:rsid w:val="00FD1331"/>
    <w:rsid w:val="00FD1537"/>
    <w:rsid w:val="00FD168F"/>
    <w:rsid w:val="00FD465B"/>
    <w:rsid w:val="00FD6B49"/>
    <w:rsid w:val="00FE1752"/>
    <w:rsid w:val="00FE17D9"/>
    <w:rsid w:val="00FE1A11"/>
    <w:rsid w:val="00FE32A9"/>
    <w:rsid w:val="00FF0045"/>
    <w:rsid w:val="00FF2035"/>
    <w:rsid w:val="00FF2188"/>
    <w:rsid w:val="00FF2942"/>
    <w:rsid w:val="00FF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CD7D4"/>
  <w15:docId w15:val="{3318E70A-B2B0-48D4-999A-90BB3C2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01763"/>
    <w:rPr>
      <w:sz w:val="24"/>
      <w:szCs w:val="24"/>
    </w:rPr>
  </w:style>
  <w:style w:type="paragraph" w:styleId="Nadpis1">
    <w:name w:val="heading 1"/>
    <w:basedOn w:val="Normln"/>
    <w:next w:val="Normln"/>
    <w:link w:val="Nadpis1Char"/>
    <w:qFormat/>
    <w:pPr>
      <w:spacing w:before="360"/>
      <w:outlineLvl w:val="0"/>
    </w:pPr>
    <w:rPr>
      <w:b/>
      <w:caps/>
      <w:sz w:val="20"/>
      <w:szCs w:val="20"/>
      <w:u w:val="single"/>
    </w:rPr>
  </w:style>
  <w:style w:type="paragraph" w:styleId="Nadpis2">
    <w:name w:val="heading 2"/>
    <w:basedOn w:val="Normln"/>
    <w:next w:val="Normln"/>
    <w:link w:val="Nadpis2Char"/>
    <w:qFormat/>
    <w:pPr>
      <w:spacing w:before="160"/>
      <w:outlineLvl w:val="1"/>
    </w:pPr>
    <w:rPr>
      <w:sz w:val="20"/>
      <w:szCs w:val="20"/>
    </w:rPr>
  </w:style>
  <w:style w:type="paragraph" w:styleId="Nadpis3">
    <w:name w:val="heading 3"/>
    <w:basedOn w:val="Normln"/>
    <w:next w:val="Normln"/>
    <w:link w:val="Nadpis3Char"/>
    <w:qFormat/>
    <w:pPr>
      <w:keepNext/>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link w:val="ZkladntextChar"/>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link w:val="Zkladntext3Char"/>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4"/>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4"/>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4"/>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basedOn w:val="Normln"/>
    <w:link w:val="TextkomenteChar"/>
    <w:uiPriority w:val="99"/>
    <w:rsid w:val="009270D8"/>
    <w:rPr>
      <w:sz w:val="20"/>
      <w:szCs w:val="20"/>
    </w:rPr>
  </w:style>
  <w:style w:type="character" w:customStyle="1" w:styleId="TextkomenteChar">
    <w:name w:val="Text komentáře Char"/>
    <w:basedOn w:val="Standardnpsmoodstavce"/>
    <w:link w:val="Textkomente"/>
    <w:uiPriority w:val="99"/>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paragraph" w:customStyle="1" w:styleId="Zkladntext22">
    <w:name w:val="Základní text 22"/>
    <w:basedOn w:val="Normln"/>
    <w:rsid w:val="00E74678"/>
    <w:pPr>
      <w:ind w:left="556"/>
      <w:jc w:val="both"/>
    </w:pPr>
    <w:rPr>
      <w:sz w:val="20"/>
      <w:szCs w:val="20"/>
    </w:rPr>
  </w:style>
  <w:style w:type="character" w:customStyle="1" w:styleId="ZkladntextChar">
    <w:name w:val="Základní text Char"/>
    <w:basedOn w:val="Standardnpsmoodstavce"/>
    <w:link w:val="Zkladntext"/>
    <w:rsid w:val="004648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pumo@cpp.cz"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593E-EFAC-41D4-A550-E442A09F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2220</Words>
  <Characters>13098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15288</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Richtrová Pavlína</dc:creator>
  <cp:lastModifiedBy>Martin Kaiser</cp:lastModifiedBy>
  <cp:revision>4</cp:revision>
  <cp:lastPrinted>2014-01-14T10:00:00Z</cp:lastPrinted>
  <dcterms:created xsi:type="dcterms:W3CDTF">2018-02-27T13:23:00Z</dcterms:created>
  <dcterms:modified xsi:type="dcterms:W3CDTF">2018-05-07T08:04:00Z</dcterms:modified>
</cp:coreProperties>
</file>