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48F" w:rsidRDefault="007B56E7" w:rsidP="007B56E7">
      <w:r>
        <w:rPr>
          <w:noProof/>
          <w:lang w:eastAsia="cs-CZ"/>
        </w:rPr>
        <w:drawing>
          <wp:inline distT="0" distB="0" distL="0" distR="0">
            <wp:extent cx="2452821" cy="4572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let_automaticky_podp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130" cy="46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17F" w:rsidRDefault="00F4717F" w:rsidP="002B548F"/>
    <w:p w:rsidR="00F4717F" w:rsidRDefault="00F4717F" w:rsidP="002B548F"/>
    <w:p w:rsidR="00FB69E9" w:rsidRDefault="002B548F" w:rsidP="000E16BC">
      <w:pPr>
        <w:spacing w:line="360" w:lineRule="auto"/>
      </w:pPr>
      <w:r>
        <w:t xml:space="preserve">Vážení </w:t>
      </w:r>
      <w:r w:rsidR="00FB69E9">
        <w:t>členové odborového svazu zdravotnictví a sociální péče ČR,</w:t>
      </w:r>
    </w:p>
    <w:p w:rsidR="00FB69E9" w:rsidRDefault="00FB69E9" w:rsidP="000E16BC">
      <w:pPr>
        <w:spacing w:line="360" w:lineRule="auto"/>
        <w:jc w:val="both"/>
      </w:pPr>
      <w:r>
        <w:t>makléřská pojišťovací společnost SATUM CZECH, s.r.o. Vám ve spolupráci s odborovým svazem přináší exkluzivní možnost pojištění odpovědnosti z výkonu povolání</w:t>
      </w:r>
      <w:r w:rsidR="005D50A9">
        <w:t xml:space="preserve">. </w:t>
      </w:r>
      <w:r>
        <w:t>Tento druh pojištění Vás chrání pro případy</w:t>
      </w:r>
      <w:r w:rsidR="000E16BC">
        <w:t>,</w:t>
      </w:r>
      <w:r>
        <w:t xml:space="preserve"> kdy způsobíte svému zaměstnavateli škodu na majetku nebo škodu na zdraví třetím osobám při výkonu vašeho povolání. Zaměstnavatel po Vás může ze zákona požadovat uhrazení škody</w:t>
      </w:r>
      <w:r w:rsidR="000E16BC">
        <w:t>,</w:t>
      </w:r>
      <w:r>
        <w:t xml:space="preserve"> a to až do výše </w:t>
      </w:r>
      <w:proofErr w:type="gramStart"/>
      <w:r>
        <w:t>4,5 násobku</w:t>
      </w:r>
      <w:proofErr w:type="gramEnd"/>
      <w:r>
        <w:t xml:space="preserve"> vaší průměrné měsíční mzdy</w:t>
      </w:r>
      <w:r w:rsidR="000E16BC">
        <w:t>.</w:t>
      </w:r>
      <w:r w:rsidR="005D50A9">
        <w:t xml:space="preserve"> Škody způsobené zaměstnavateli patří vůbec k těm nejčastějším, které se v pojišťovnictví vyskytují. Ochraňte tedy sebe a své příjmy díky našemu pojištění, které je pouze pro členy odborového svazu.</w:t>
      </w:r>
    </w:p>
    <w:p w:rsidR="00FB69E9" w:rsidRDefault="00FB69E9" w:rsidP="00FB69E9">
      <w:pPr>
        <w:jc w:val="both"/>
      </w:pPr>
      <w:r>
        <w:t>Toto pojištění si můžete sjednat přes vaší odborovou organizaci za zvýhodněnou cenu: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3261"/>
        <w:gridCol w:w="2835"/>
      </w:tblGrid>
      <w:tr w:rsidR="00FB69E9" w:rsidRPr="000E16BC" w:rsidTr="000E16BC">
        <w:trPr>
          <w:trHeight w:val="108"/>
        </w:trPr>
        <w:tc>
          <w:tcPr>
            <w:tcW w:w="2938" w:type="dxa"/>
          </w:tcPr>
          <w:p w:rsidR="00FB69E9" w:rsidRPr="000E16BC" w:rsidRDefault="00FB69E9">
            <w:pPr>
              <w:pStyle w:val="Pa2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E16BC">
              <w:rPr>
                <w:rStyle w:val="A6"/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Kategorie</w:t>
            </w:r>
          </w:p>
        </w:tc>
        <w:tc>
          <w:tcPr>
            <w:tcW w:w="3261" w:type="dxa"/>
          </w:tcPr>
          <w:p w:rsidR="00FB69E9" w:rsidRPr="000E16BC" w:rsidRDefault="00FB69E9">
            <w:pPr>
              <w:pStyle w:val="Pa2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E16BC">
              <w:rPr>
                <w:rStyle w:val="A6"/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Roční limit plnění</w:t>
            </w:r>
          </w:p>
        </w:tc>
        <w:tc>
          <w:tcPr>
            <w:tcW w:w="2835" w:type="dxa"/>
          </w:tcPr>
          <w:p w:rsidR="00FB69E9" w:rsidRPr="000E16BC" w:rsidRDefault="00FB69E9">
            <w:pPr>
              <w:pStyle w:val="Pa2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0E16BC">
              <w:rPr>
                <w:rStyle w:val="A6"/>
                <w:rFonts w:asciiTheme="minorHAnsi" w:hAnsiTheme="minorHAnsi" w:cstheme="minorHAnsi"/>
                <w:b/>
                <w:i w:val="0"/>
                <w:iCs w:val="0"/>
                <w:sz w:val="24"/>
                <w:szCs w:val="24"/>
              </w:rPr>
              <w:t>Roční pojistné*</w:t>
            </w:r>
          </w:p>
        </w:tc>
      </w:tr>
      <w:tr w:rsidR="00FB69E9" w:rsidRPr="000E16BC" w:rsidTr="000E16BC">
        <w:trPr>
          <w:trHeight w:val="108"/>
        </w:trPr>
        <w:tc>
          <w:tcPr>
            <w:tcW w:w="2938" w:type="dxa"/>
            <w:vMerge w:val="restart"/>
          </w:tcPr>
          <w:p w:rsidR="00FB69E9" w:rsidRPr="000E16BC" w:rsidRDefault="000E76A7" w:rsidP="000E16BC">
            <w:pPr>
              <w:pStyle w:val="Pa2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Neř</w:t>
            </w:r>
            <w:r w:rsidR="00FB69E9" w:rsidRPr="000E16BC"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idiči</w:t>
            </w:r>
            <w:proofErr w:type="spellEnd"/>
          </w:p>
        </w:tc>
        <w:tc>
          <w:tcPr>
            <w:tcW w:w="3261" w:type="dxa"/>
          </w:tcPr>
          <w:p w:rsidR="00FB69E9" w:rsidRPr="000E16BC" w:rsidRDefault="00FB69E9">
            <w:pPr>
              <w:pStyle w:val="Pa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E16BC"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100 000 Kč</w:t>
            </w:r>
          </w:p>
        </w:tc>
        <w:tc>
          <w:tcPr>
            <w:tcW w:w="2835" w:type="dxa"/>
          </w:tcPr>
          <w:p w:rsidR="00FB69E9" w:rsidRPr="000E16BC" w:rsidRDefault="000E76A7">
            <w:pPr>
              <w:pStyle w:val="Pa2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1</w:t>
            </w:r>
            <w:r w:rsidR="00FB69E9" w:rsidRPr="000E16BC"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90 Kč</w:t>
            </w:r>
          </w:p>
        </w:tc>
      </w:tr>
      <w:tr w:rsidR="00FB69E9" w:rsidRPr="000E16BC" w:rsidTr="000E16BC">
        <w:trPr>
          <w:trHeight w:val="108"/>
        </w:trPr>
        <w:tc>
          <w:tcPr>
            <w:tcW w:w="2938" w:type="dxa"/>
            <w:vMerge/>
          </w:tcPr>
          <w:p w:rsidR="00FB69E9" w:rsidRPr="000E16BC" w:rsidRDefault="00FB69E9" w:rsidP="000E16B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1" w:type="dxa"/>
          </w:tcPr>
          <w:p w:rsidR="00FB69E9" w:rsidRPr="000E16BC" w:rsidRDefault="00FB69E9">
            <w:pPr>
              <w:pStyle w:val="Pa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E16BC"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200 000 Kč</w:t>
            </w:r>
          </w:p>
        </w:tc>
        <w:tc>
          <w:tcPr>
            <w:tcW w:w="2835" w:type="dxa"/>
          </w:tcPr>
          <w:p w:rsidR="00FB69E9" w:rsidRPr="000E16BC" w:rsidRDefault="000E76A7">
            <w:pPr>
              <w:pStyle w:val="Pa2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3</w:t>
            </w:r>
            <w:r w:rsidR="00FB69E9" w:rsidRPr="000E16BC"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90 Kč</w:t>
            </w:r>
          </w:p>
        </w:tc>
      </w:tr>
      <w:tr w:rsidR="00FB69E9" w:rsidRPr="000E16BC" w:rsidTr="000E16BC">
        <w:trPr>
          <w:trHeight w:val="108"/>
        </w:trPr>
        <w:tc>
          <w:tcPr>
            <w:tcW w:w="2938" w:type="dxa"/>
            <w:vMerge w:val="restart"/>
          </w:tcPr>
          <w:p w:rsidR="00FB69E9" w:rsidRPr="000E16BC" w:rsidRDefault="000E76A7" w:rsidP="000E16BC">
            <w:pPr>
              <w:pStyle w:val="Pa2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Ř</w:t>
            </w:r>
            <w:r w:rsidR="00FB69E9" w:rsidRPr="000E16BC"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idiči</w:t>
            </w:r>
          </w:p>
        </w:tc>
        <w:tc>
          <w:tcPr>
            <w:tcW w:w="3261" w:type="dxa"/>
          </w:tcPr>
          <w:p w:rsidR="00FB69E9" w:rsidRPr="000E16BC" w:rsidRDefault="00FB69E9">
            <w:pPr>
              <w:pStyle w:val="Pa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E16BC"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100 000 Kč</w:t>
            </w:r>
          </w:p>
        </w:tc>
        <w:tc>
          <w:tcPr>
            <w:tcW w:w="2835" w:type="dxa"/>
          </w:tcPr>
          <w:p w:rsidR="00FB69E9" w:rsidRPr="000E16BC" w:rsidRDefault="000E76A7">
            <w:pPr>
              <w:pStyle w:val="Pa2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3</w:t>
            </w:r>
            <w:r w:rsidR="00FB69E9" w:rsidRPr="000E16BC"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90 Kč</w:t>
            </w:r>
          </w:p>
        </w:tc>
      </w:tr>
      <w:tr w:rsidR="000E16BC" w:rsidRPr="000E16BC" w:rsidTr="000E16BC">
        <w:trPr>
          <w:trHeight w:val="108"/>
        </w:trPr>
        <w:tc>
          <w:tcPr>
            <w:tcW w:w="2938" w:type="dxa"/>
            <w:vMerge/>
          </w:tcPr>
          <w:p w:rsidR="00FB69E9" w:rsidRPr="000E16BC" w:rsidRDefault="00FB69E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61" w:type="dxa"/>
          </w:tcPr>
          <w:p w:rsidR="00FB69E9" w:rsidRPr="000E16BC" w:rsidRDefault="00FB69E9">
            <w:pPr>
              <w:pStyle w:val="Pa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E16BC"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200 000 Kč</w:t>
            </w:r>
          </w:p>
        </w:tc>
        <w:tc>
          <w:tcPr>
            <w:tcW w:w="2835" w:type="dxa"/>
          </w:tcPr>
          <w:p w:rsidR="00FB69E9" w:rsidRPr="000E16BC" w:rsidRDefault="000E76A7">
            <w:pPr>
              <w:pStyle w:val="Pa2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5</w:t>
            </w:r>
            <w:r w:rsidR="00FB69E9" w:rsidRPr="000E16BC">
              <w:rPr>
                <w:rStyle w:val="A6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90 Kč</w:t>
            </w:r>
          </w:p>
        </w:tc>
      </w:tr>
    </w:tbl>
    <w:p w:rsidR="000E16BC" w:rsidRPr="000E16BC" w:rsidRDefault="000E16BC" w:rsidP="000E16BC">
      <w:pPr>
        <w:pStyle w:val="Pa0"/>
        <w:rPr>
          <w:rStyle w:val="A6"/>
          <w:rFonts w:asciiTheme="minorHAnsi" w:hAnsiTheme="minorHAnsi" w:cstheme="minorHAnsi"/>
          <w:b/>
          <w:i w:val="0"/>
          <w:iCs w:val="0"/>
          <w:sz w:val="20"/>
          <w:szCs w:val="20"/>
        </w:rPr>
      </w:pPr>
    </w:p>
    <w:p w:rsidR="000E16BC" w:rsidRPr="000E16BC" w:rsidRDefault="000E16BC" w:rsidP="000E16BC">
      <w:pPr>
        <w:pStyle w:val="Pa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E16BC">
        <w:rPr>
          <w:rStyle w:val="A6"/>
          <w:rFonts w:asciiTheme="minorHAnsi" w:hAnsiTheme="minorHAnsi" w:cstheme="minorHAnsi"/>
          <w:b/>
          <w:i w:val="0"/>
          <w:iCs w:val="0"/>
          <w:sz w:val="20"/>
          <w:szCs w:val="20"/>
        </w:rPr>
        <w:t>*</w:t>
      </w:r>
      <w:r w:rsidRPr="000E16BC">
        <w:rPr>
          <w:rFonts w:asciiTheme="minorHAnsi" w:hAnsiTheme="minorHAnsi" w:cstheme="minorHAnsi"/>
          <w:i/>
          <w:iCs/>
          <w:color w:val="000000"/>
          <w:sz w:val="20"/>
          <w:szCs w:val="20"/>
        </w:rPr>
        <w:t>Uvedené sazby jsou platné při sjednání přes odborovou organizaci. V případě individuálního sjednání je aktuální sazebník navýšen o 100 Kč.</w:t>
      </w:r>
      <w:bookmarkStart w:id="0" w:name="_GoBack"/>
      <w:bookmarkEnd w:id="0"/>
    </w:p>
    <w:p w:rsidR="000E16BC" w:rsidRPr="000E16BC" w:rsidRDefault="000E16BC" w:rsidP="000E16BC">
      <w:pPr>
        <w:pStyle w:val="Default"/>
        <w:rPr>
          <w:rFonts w:asciiTheme="minorHAnsi" w:hAnsiTheme="minorHAnsi" w:cstheme="minorHAnsi"/>
        </w:rPr>
      </w:pPr>
    </w:p>
    <w:p w:rsidR="000E16BC" w:rsidRDefault="000E16BC" w:rsidP="000E16B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E16BC">
        <w:rPr>
          <w:rFonts w:asciiTheme="minorHAnsi" w:hAnsiTheme="minorHAnsi" w:cstheme="minorHAnsi"/>
        </w:rPr>
        <w:t xml:space="preserve">Nabízené ceny jsou přibližně o </w:t>
      </w:r>
      <w:proofErr w:type="gramStart"/>
      <w:r w:rsidRPr="000E16BC">
        <w:rPr>
          <w:rFonts w:asciiTheme="minorHAnsi" w:hAnsiTheme="minorHAnsi" w:cstheme="minorHAnsi"/>
        </w:rPr>
        <w:t>80%</w:t>
      </w:r>
      <w:proofErr w:type="gramEnd"/>
      <w:r w:rsidRPr="000E16BC">
        <w:rPr>
          <w:rFonts w:asciiTheme="minorHAnsi" w:hAnsiTheme="minorHAnsi" w:cstheme="minorHAnsi"/>
        </w:rPr>
        <w:t xml:space="preserve"> levnější než je běžně dostupná cena tohoto pojištění</w:t>
      </w:r>
      <w:r>
        <w:rPr>
          <w:rFonts w:asciiTheme="minorHAnsi" w:hAnsiTheme="minorHAnsi" w:cstheme="minorHAnsi"/>
        </w:rPr>
        <w:t xml:space="preserve"> na trhu</w:t>
      </w:r>
      <w:r w:rsidRPr="000E16B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0E16BC" w:rsidRDefault="000E16BC" w:rsidP="000E16B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E16BC">
        <w:rPr>
          <w:rFonts w:asciiTheme="minorHAnsi" w:hAnsiTheme="minorHAnsi" w:cstheme="minorHAnsi"/>
        </w:rPr>
        <w:t xml:space="preserve">Pro vstup do pojištění stačí vyplnit krátký dotazník, který </w:t>
      </w:r>
      <w:r>
        <w:rPr>
          <w:rFonts w:asciiTheme="minorHAnsi" w:hAnsiTheme="minorHAnsi" w:cstheme="minorHAnsi"/>
        </w:rPr>
        <w:t>je rovněž přílohou tohoto mailu a předat ho vedení vaší odborové organizace.</w:t>
      </w:r>
    </w:p>
    <w:p w:rsidR="005D50A9" w:rsidRDefault="005D50A9" w:rsidP="000E16B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jakýchkoliv dotazů mě prosím neváhejte kontaktovat na e-mailu: </w:t>
      </w:r>
      <w:hyperlink r:id="rId5" w:history="1">
        <w:r w:rsidRPr="0023499E">
          <w:rPr>
            <w:rStyle w:val="Hypertextovodkaz"/>
            <w:rFonts w:asciiTheme="minorHAnsi" w:hAnsiTheme="minorHAnsi" w:cstheme="minorHAnsi"/>
          </w:rPr>
          <w:t>martin.kaiser@satum.cz</w:t>
        </w:r>
      </w:hyperlink>
      <w:r>
        <w:rPr>
          <w:rFonts w:asciiTheme="minorHAnsi" w:hAnsiTheme="minorHAnsi" w:cstheme="minorHAnsi"/>
        </w:rPr>
        <w:t xml:space="preserve"> nebo na tel.: 602 445 619.</w:t>
      </w:r>
    </w:p>
    <w:p w:rsidR="005D50A9" w:rsidRDefault="005D50A9" w:rsidP="000E16B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D50A9" w:rsidRDefault="005D50A9" w:rsidP="000E16B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 přáním hezkého dne</w:t>
      </w:r>
    </w:p>
    <w:p w:rsidR="005D50A9" w:rsidRDefault="005D50A9" w:rsidP="000E16B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D50A9" w:rsidRDefault="005D50A9" w:rsidP="005D50A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 Kaiser</w:t>
      </w:r>
    </w:p>
    <w:p w:rsidR="005D50A9" w:rsidRDefault="005D50A9" w:rsidP="005D50A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Obchodní manažer</w:t>
      </w:r>
    </w:p>
    <w:p w:rsidR="005D50A9" w:rsidRDefault="005D50A9" w:rsidP="005D50A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SATUM CZECH, s.r.o.</w:t>
      </w:r>
    </w:p>
    <w:p w:rsidR="005D50A9" w:rsidRDefault="005D50A9" w:rsidP="000E16B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0E16BC" w:rsidRPr="00F4717F" w:rsidRDefault="000E16BC" w:rsidP="00F4717F">
      <w:pPr>
        <w:jc w:val="both"/>
      </w:pPr>
    </w:p>
    <w:sectPr w:rsidR="000E16BC" w:rsidRPr="00F4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ronicle Disp Cond Ligh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hronicle Disp Con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03"/>
    <w:rsid w:val="000E16BC"/>
    <w:rsid w:val="000E76A7"/>
    <w:rsid w:val="001C4131"/>
    <w:rsid w:val="002B548F"/>
    <w:rsid w:val="004B2010"/>
    <w:rsid w:val="005329A3"/>
    <w:rsid w:val="005C6598"/>
    <w:rsid w:val="005D50A9"/>
    <w:rsid w:val="007211E5"/>
    <w:rsid w:val="007B56E7"/>
    <w:rsid w:val="008011D1"/>
    <w:rsid w:val="00891AAD"/>
    <w:rsid w:val="008B7464"/>
    <w:rsid w:val="009C52C1"/>
    <w:rsid w:val="00B92210"/>
    <w:rsid w:val="00CA6103"/>
    <w:rsid w:val="00E7241E"/>
    <w:rsid w:val="00F4717F"/>
    <w:rsid w:val="00FB69E9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B285"/>
  <w15:chartTrackingRefBased/>
  <w15:docId w15:val="{E4DFC808-2AC8-4F69-86EE-8BF0D9EA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A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69E9"/>
    <w:pPr>
      <w:autoSpaceDE w:val="0"/>
      <w:autoSpaceDN w:val="0"/>
      <w:adjustRightInd w:val="0"/>
      <w:spacing w:after="0" w:line="240" w:lineRule="auto"/>
    </w:pPr>
    <w:rPr>
      <w:rFonts w:ascii="Chronicle Disp Cond Light" w:hAnsi="Chronicle Disp Cond Light" w:cs="Chronicle Disp Con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B69E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FB69E9"/>
    <w:rPr>
      <w:rFonts w:cs="Chronicle Disp Cond Light"/>
      <w:i/>
      <w:i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0E16BC"/>
    <w:pPr>
      <w:spacing w:line="241" w:lineRule="atLeast"/>
    </w:pPr>
    <w:rPr>
      <w:rFonts w:ascii="Chronicle Disp Cond" w:hAnsi="Chronicle Disp Cond"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5D50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50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kaiser@sat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Moravcová</dc:creator>
  <cp:keywords/>
  <dc:description/>
  <cp:lastModifiedBy>Martin Kaiser</cp:lastModifiedBy>
  <cp:revision>4</cp:revision>
  <cp:lastPrinted>2018-01-18T09:59:00Z</cp:lastPrinted>
  <dcterms:created xsi:type="dcterms:W3CDTF">2018-05-07T07:56:00Z</dcterms:created>
  <dcterms:modified xsi:type="dcterms:W3CDTF">2018-05-09T08:51:00Z</dcterms:modified>
</cp:coreProperties>
</file>